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3CEE9" w14:textId="634D40B5" w:rsidR="00E246D3" w:rsidRPr="0073563F" w:rsidRDefault="00E246D3" w:rsidP="0073563F">
      <w:pPr>
        <w:rPr>
          <w:rFonts w:ascii="Calibri" w:hAnsi="Calibri" w:cs="Calibri"/>
          <w:b/>
          <w:bCs/>
          <w:sz w:val="28"/>
          <w:szCs w:val="32"/>
        </w:rPr>
      </w:pPr>
      <w:r w:rsidRPr="0073563F">
        <w:rPr>
          <w:rFonts w:ascii="Calibri" w:hAnsi="Calibri" w:cs="Calibri"/>
          <w:b/>
          <w:bCs/>
          <w:sz w:val="28"/>
          <w:szCs w:val="32"/>
        </w:rPr>
        <w:t xml:space="preserve">Příloha č. 2 </w:t>
      </w:r>
      <w:r w:rsidR="0073563F">
        <w:rPr>
          <w:rFonts w:ascii="Calibri" w:hAnsi="Calibri" w:cs="Calibri"/>
          <w:b/>
          <w:bCs/>
          <w:sz w:val="28"/>
          <w:szCs w:val="32"/>
        </w:rPr>
        <w:t xml:space="preserve">- </w:t>
      </w:r>
      <w:r w:rsidRPr="0073563F">
        <w:rPr>
          <w:rFonts w:ascii="Calibri" w:hAnsi="Calibri" w:cs="Calibri"/>
          <w:b/>
          <w:bCs/>
          <w:sz w:val="28"/>
          <w:szCs w:val="32"/>
        </w:rPr>
        <w:t>Kyberbezpečnost</w:t>
      </w:r>
    </w:p>
    <w:p w14:paraId="38083B2A" w14:textId="5DD4EA87" w:rsidR="00420890" w:rsidRDefault="0073563F" w:rsidP="00420890">
      <w:pPr>
        <w:rPr>
          <w:rFonts w:ascii="Arial" w:eastAsia="Arial" w:hAnsi="Arial" w:cs="Arial"/>
        </w:rPr>
      </w:pPr>
      <w:bookmarkStart w:id="0" w:name="_Hlk116293621"/>
      <w:r w:rsidRPr="005314F3">
        <w:rPr>
          <w:rFonts w:asciiTheme="majorHAnsi" w:eastAsia="Tahoma" w:hAnsiTheme="majorHAnsi" w:cstheme="majorHAnsi"/>
        </w:rPr>
        <w:t xml:space="preserve">Název zakázky: </w:t>
      </w:r>
    </w:p>
    <w:p w14:paraId="3C89438E" w14:textId="6AA90FD4" w:rsidR="00FC2B5C" w:rsidRPr="005314F3" w:rsidRDefault="00FC2B5C" w:rsidP="00FC2B5C">
      <w:pPr>
        <w:jc w:val="both"/>
        <w:rPr>
          <w:rFonts w:asciiTheme="majorHAnsi" w:eastAsia="Tahoma" w:hAnsiTheme="majorHAnsi" w:cstheme="majorHAnsi"/>
        </w:rPr>
      </w:pPr>
      <w:r w:rsidRPr="00C9458B">
        <w:rPr>
          <w:rFonts w:asciiTheme="minorHAnsi" w:hAnsiTheme="minorHAnsi" w:cstheme="minorHAnsi"/>
          <w:b/>
          <w:bCs/>
        </w:rPr>
        <w:t>Zajištění</w:t>
      </w:r>
      <w:r w:rsidRPr="00C9458B">
        <w:rPr>
          <w:rFonts w:asciiTheme="minorHAnsi" w:hAnsiTheme="minorHAnsi" w:cstheme="minorHAnsi"/>
        </w:rPr>
        <w:t xml:space="preserve"> </w:t>
      </w:r>
      <w:r w:rsidRPr="00B4624F">
        <w:rPr>
          <w:rFonts w:asciiTheme="minorHAnsi" w:hAnsiTheme="minorHAnsi" w:cstheme="minorHAnsi"/>
          <w:b/>
          <w:bCs/>
        </w:rPr>
        <w:t>r</w:t>
      </w:r>
      <w:r w:rsidRPr="00C9458B">
        <w:rPr>
          <w:rFonts w:asciiTheme="minorHAnsi" w:hAnsiTheme="minorHAnsi" w:cstheme="minorHAnsi"/>
          <w:b/>
          <w:bCs/>
        </w:rPr>
        <w:t>edundantní</w:t>
      </w:r>
      <w:r>
        <w:rPr>
          <w:rFonts w:asciiTheme="minorHAnsi" w:hAnsiTheme="minorHAnsi" w:cstheme="minorHAnsi"/>
          <w:b/>
          <w:bCs/>
        </w:rPr>
        <w:t>ho</w:t>
      </w:r>
      <w:r w:rsidRPr="00C9458B">
        <w:rPr>
          <w:rFonts w:asciiTheme="minorHAnsi" w:hAnsiTheme="minorHAnsi" w:cstheme="minorHAnsi"/>
          <w:b/>
          <w:bCs/>
        </w:rPr>
        <w:t xml:space="preserve"> datové propojení objektu Ostrava, 28. října 3388/111 (Skelet) prostřednictvím datového okruhu do Vysokorychlostní datové sítě Moravskoslezského kraje (VDS MSK)</w:t>
      </w:r>
    </w:p>
    <w:p w14:paraId="57DE4CC4" w14:textId="1DB1E5AF" w:rsidR="0073563F" w:rsidRPr="005314F3" w:rsidRDefault="0073563F" w:rsidP="0073563F">
      <w:pPr>
        <w:jc w:val="both"/>
        <w:rPr>
          <w:rFonts w:asciiTheme="majorHAnsi" w:eastAsia="Tahoma" w:hAnsiTheme="majorHAnsi" w:cstheme="majorHAnsi"/>
        </w:rPr>
      </w:pPr>
    </w:p>
    <w:p w14:paraId="0633CDDA" w14:textId="77777777" w:rsidR="0073563F" w:rsidRPr="005314F3" w:rsidRDefault="0073563F" w:rsidP="0073563F">
      <w:pPr>
        <w:spacing w:line="240" w:lineRule="auto"/>
        <w:jc w:val="both"/>
        <w:rPr>
          <w:rFonts w:asciiTheme="majorHAnsi" w:eastAsia="Tahoma" w:hAnsiTheme="majorHAnsi" w:cstheme="majorHAnsi"/>
          <w:b/>
          <w:bCs/>
        </w:rPr>
      </w:pPr>
      <w:r w:rsidRPr="005314F3">
        <w:rPr>
          <w:rFonts w:asciiTheme="majorHAnsi" w:eastAsia="Tahoma" w:hAnsiTheme="majorHAnsi" w:cstheme="majorHAnsi"/>
        </w:rPr>
        <w:t xml:space="preserve">Zadavatel: </w:t>
      </w:r>
      <w:r w:rsidRPr="005314F3">
        <w:rPr>
          <w:rFonts w:asciiTheme="majorHAnsi" w:eastAsia="Tahoma" w:hAnsiTheme="majorHAnsi" w:cstheme="majorHAnsi"/>
          <w:b/>
          <w:bCs/>
        </w:rPr>
        <w:t>Moravskoslezské datové centrum, příspěvková organizace</w:t>
      </w:r>
    </w:p>
    <w:bookmarkEnd w:id="0"/>
    <w:p w14:paraId="725D2041" w14:textId="77777777" w:rsidR="00706BC6" w:rsidRPr="0073563F" w:rsidRDefault="00706BC6" w:rsidP="00E246D3">
      <w:pPr>
        <w:rPr>
          <w:rFonts w:ascii="Calibri" w:hAnsi="Calibri" w:cs="Calibri"/>
          <w:b/>
          <w:bCs/>
        </w:rPr>
      </w:pPr>
    </w:p>
    <w:p w14:paraId="447F904D" w14:textId="00AD6D66" w:rsidR="00E246D3" w:rsidRPr="0073563F" w:rsidRDefault="00E246D3" w:rsidP="0073563F">
      <w:pPr>
        <w:pStyle w:val="Nadpis1"/>
        <w:pBdr>
          <w:top w:val="single" w:sz="4" w:space="1" w:color="auto"/>
          <w:left w:val="single" w:sz="4" w:space="4" w:color="auto"/>
          <w:bottom w:val="single" w:sz="4" w:space="1" w:color="auto"/>
          <w:right w:val="single" w:sz="4" w:space="4" w:color="auto"/>
        </w:pBdr>
        <w:rPr>
          <w:rFonts w:cs="Calibri"/>
        </w:rPr>
      </w:pPr>
      <w:r w:rsidRPr="0073563F">
        <w:rPr>
          <w:rFonts w:cs="Calibri"/>
        </w:rPr>
        <w:t>ÚČEL </w:t>
      </w:r>
    </w:p>
    <w:p w14:paraId="1FB8C057" w14:textId="34C6CB5B" w:rsidR="00FF7ABC" w:rsidRPr="0073563F" w:rsidRDefault="00FF7ABC" w:rsidP="00FF7ABC">
      <w:pPr>
        <w:jc w:val="both"/>
        <w:rPr>
          <w:rStyle w:val="eop"/>
          <w:rFonts w:ascii="Calibri" w:eastAsiaTheme="majorEastAsia" w:hAnsi="Calibri" w:cs="Calibri"/>
          <w:szCs w:val="20"/>
        </w:rPr>
      </w:pPr>
      <w:r w:rsidRPr="00FF7ABC">
        <w:rPr>
          <w:rFonts w:ascii="Calibri" w:hAnsi="Calibri" w:cs="Calibri"/>
          <w:szCs w:val="20"/>
        </w:rPr>
        <w:t xml:space="preserve"> </w:t>
      </w:r>
      <w:r w:rsidRPr="0073563F">
        <w:rPr>
          <w:rFonts w:ascii="Calibri" w:hAnsi="Calibri" w:cs="Calibri"/>
          <w:szCs w:val="20"/>
        </w:rPr>
        <w:t>Účelem této tohoto dokumentu je stanovit bezpečnostní opatření pro smluvní vztah v rámci plnění veřejn</w:t>
      </w:r>
      <w:r>
        <w:rPr>
          <w:rFonts w:ascii="Calibri" w:hAnsi="Calibri" w:cs="Calibri"/>
          <w:szCs w:val="20"/>
        </w:rPr>
        <w:t>é</w:t>
      </w:r>
      <w:r w:rsidRPr="0073563F">
        <w:rPr>
          <w:rFonts w:ascii="Calibri" w:hAnsi="Calibri" w:cs="Calibri"/>
          <w:szCs w:val="20"/>
        </w:rPr>
        <w:t xml:space="preserve"> zakázky </w:t>
      </w:r>
      <w:r w:rsidRPr="006819F6">
        <w:rPr>
          <w:rFonts w:ascii="Calibri" w:hAnsi="Calibri" w:cs="Calibri"/>
          <w:b/>
          <w:bCs/>
          <w:szCs w:val="20"/>
        </w:rPr>
        <w:t>Zajištění redundantního datové propojení objektu Ostrava, 28. října 3388/111 (Skelet) prostřednictvím datového okruhu do Vysokorychlostní datové sítě Moravskoslezského kraje (VDS MSK)</w:t>
      </w:r>
      <w:r w:rsidRPr="006819F6" w:rsidDel="006819F6">
        <w:rPr>
          <w:rFonts w:ascii="Calibri" w:hAnsi="Calibri" w:cs="Calibri"/>
          <w:b/>
          <w:bCs/>
          <w:szCs w:val="20"/>
        </w:rPr>
        <w:t xml:space="preserve"> </w:t>
      </w:r>
      <w:r w:rsidRPr="0073563F">
        <w:rPr>
          <w:rFonts w:ascii="Calibri" w:hAnsi="Calibri" w:cs="Calibri"/>
          <w:szCs w:val="20"/>
        </w:rPr>
        <w:t>(dále jen</w:t>
      </w:r>
      <w:r w:rsidRPr="0073563F">
        <w:rPr>
          <w:rFonts w:ascii="Calibri" w:hAnsi="Calibri" w:cs="Calibri"/>
          <w:b/>
          <w:bCs/>
          <w:szCs w:val="20"/>
        </w:rPr>
        <w:t xml:space="preserve"> </w:t>
      </w:r>
      <w:r w:rsidRPr="0073563F">
        <w:rPr>
          <w:rFonts w:ascii="Calibri" w:hAnsi="Calibri" w:cs="Calibri"/>
          <w:szCs w:val="20"/>
        </w:rPr>
        <w:t xml:space="preserve">„veřejná zakázka“) zadavatele </w:t>
      </w:r>
      <w:r w:rsidRPr="0073563F">
        <w:rPr>
          <w:rFonts w:ascii="Calibri" w:eastAsia="Arial" w:hAnsi="Calibri" w:cs="Calibri"/>
          <w:b/>
          <w:bCs/>
        </w:rPr>
        <w:t>Moravskoslezské datové centrum, příspěvková organizace</w:t>
      </w:r>
      <w:r w:rsidRPr="0073563F">
        <w:rPr>
          <w:rStyle w:val="eop"/>
          <w:rFonts w:ascii="Calibri" w:hAnsi="Calibri" w:cs="Calibri"/>
          <w:szCs w:val="20"/>
        </w:rPr>
        <w:t xml:space="preserve"> (dále jen “MSDC” nebo “Nájemce”).</w:t>
      </w:r>
    </w:p>
    <w:p w14:paraId="6CCFA593" w14:textId="0DB7997C" w:rsidR="00E246D3" w:rsidRPr="0073563F" w:rsidRDefault="00E246D3" w:rsidP="006819F6">
      <w:pPr>
        <w:jc w:val="both"/>
        <w:rPr>
          <w:rStyle w:val="eop"/>
          <w:rFonts w:ascii="Calibri" w:eastAsiaTheme="majorEastAsia" w:hAnsi="Calibri" w:cs="Calibri"/>
          <w:szCs w:val="20"/>
        </w:rPr>
      </w:pPr>
    </w:p>
    <w:p w14:paraId="5064D3D1" w14:textId="21E517E6" w:rsidR="00AB019F" w:rsidRPr="0073563F" w:rsidRDefault="00AB019F" w:rsidP="0073563F">
      <w:pPr>
        <w:pStyle w:val="Nadpis1"/>
        <w:pBdr>
          <w:top w:val="single" w:sz="4" w:space="1" w:color="auto"/>
          <w:left w:val="single" w:sz="4" w:space="4" w:color="auto"/>
          <w:bottom w:val="single" w:sz="4" w:space="1" w:color="auto"/>
          <w:right w:val="single" w:sz="4" w:space="4" w:color="auto"/>
        </w:pBdr>
        <w:rPr>
          <w:rFonts w:cs="Calibri"/>
        </w:rPr>
      </w:pPr>
      <w:r w:rsidRPr="0073563F">
        <w:rPr>
          <w:rFonts w:cs="Calibri"/>
        </w:rPr>
        <w:t>ROZSAH PLATNOSTI</w:t>
      </w:r>
    </w:p>
    <w:p w14:paraId="0C27DC29" w14:textId="0C1FCED3" w:rsidR="00630EA4" w:rsidRPr="0073563F" w:rsidRDefault="00630EA4" w:rsidP="006819F6">
      <w:pPr>
        <w:jc w:val="both"/>
        <w:rPr>
          <w:rFonts w:ascii="Calibri" w:eastAsiaTheme="majorEastAsia" w:hAnsi="Calibri" w:cs="Calibri"/>
          <w:szCs w:val="20"/>
        </w:rPr>
      </w:pPr>
      <w:r w:rsidRPr="0073563F">
        <w:rPr>
          <w:rFonts w:ascii="Calibri" w:eastAsiaTheme="majorEastAsia" w:hAnsi="Calibri" w:cs="Calibri"/>
          <w:szCs w:val="20"/>
        </w:rPr>
        <w:t xml:space="preserve">Tento dokument je platný pro všechny osoby Pronajímatele a Nájemce podílející se přímo i </w:t>
      </w:r>
      <w:r w:rsidR="007E77A8" w:rsidRPr="007E77A8">
        <w:rPr>
          <w:rFonts w:ascii="Calibri" w:eastAsiaTheme="majorEastAsia" w:hAnsi="Calibri" w:cs="Calibri"/>
          <w:color w:val="000000" w:themeColor="text1"/>
          <w:szCs w:val="20"/>
        </w:rPr>
        <w:t>ne</w:t>
      </w:r>
      <w:r w:rsidRPr="007E77A8">
        <w:rPr>
          <w:rFonts w:ascii="Calibri" w:eastAsiaTheme="majorEastAsia" w:hAnsi="Calibri" w:cs="Calibri"/>
          <w:color w:val="000000" w:themeColor="text1"/>
          <w:szCs w:val="20"/>
        </w:rPr>
        <w:t>přímo</w:t>
      </w:r>
      <w:r w:rsidRPr="0073563F">
        <w:rPr>
          <w:rFonts w:ascii="Calibri" w:eastAsiaTheme="majorEastAsia" w:hAnsi="Calibri" w:cs="Calibri"/>
          <w:szCs w:val="20"/>
        </w:rPr>
        <w:t xml:space="preserve"> na plnění veřejné zakázky na základě smlouvy o nájmu optických kabelů (dále též jen „smlouva“)</w:t>
      </w:r>
    </w:p>
    <w:p w14:paraId="0907351B" w14:textId="02ECE456" w:rsidR="00630EA4" w:rsidRPr="0073563F" w:rsidRDefault="00630EA4" w:rsidP="0073563F">
      <w:pPr>
        <w:pStyle w:val="Nadpis1"/>
        <w:pBdr>
          <w:top w:val="single" w:sz="4" w:space="1" w:color="auto"/>
          <w:left w:val="single" w:sz="4" w:space="4" w:color="auto"/>
          <w:bottom w:val="single" w:sz="4" w:space="1" w:color="auto"/>
          <w:right w:val="single" w:sz="4" w:space="4" w:color="auto"/>
        </w:pBdr>
        <w:rPr>
          <w:rFonts w:cs="Calibri"/>
        </w:rPr>
      </w:pPr>
      <w:r w:rsidRPr="0073563F">
        <w:rPr>
          <w:rFonts w:cs="Calibri"/>
        </w:rPr>
        <w:t>USTANOVENÍ O OPRÁVNĚNÍ UŽÍVAT DATA</w:t>
      </w:r>
    </w:p>
    <w:p w14:paraId="6516821B" w14:textId="5200E0DC" w:rsidR="00630EA4" w:rsidRPr="0073563F" w:rsidRDefault="00182EBC" w:rsidP="006819F6">
      <w:pPr>
        <w:pStyle w:val="Odstavecseseznamem"/>
        <w:numPr>
          <w:ilvl w:val="0"/>
          <w:numId w:val="15"/>
        </w:numPr>
        <w:jc w:val="both"/>
        <w:rPr>
          <w:rFonts w:ascii="Calibri" w:hAnsi="Calibri" w:cs="Calibri"/>
          <w:lang w:eastAsia="cs-CZ"/>
        </w:rPr>
      </w:pPr>
      <w:r w:rsidRPr="0073563F">
        <w:rPr>
          <w:rFonts w:ascii="Calibri" w:hAnsi="Calibri" w:cs="Calibri"/>
          <w:lang w:eastAsia="cs-CZ"/>
        </w:rPr>
        <w:t>Pronajímatel nemá právo užívat data MSDC. Pokud nastane krizová situace, která si vyžádá užívání dat ze strany Pronajímatele, bude pro tyto účely uzavřen dodatek ke smlouvě.</w:t>
      </w:r>
    </w:p>
    <w:p w14:paraId="6173F291" w14:textId="26127B7D" w:rsidR="00182EBC" w:rsidRPr="0073563F" w:rsidRDefault="00182EBC" w:rsidP="0073563F">
      <w:pPr>
        <w:pStyle w:val="Nadpis1"/>
        <w:pBdr>
          <w:top w:val="single" w:sz="4" w:space="1" w:color="auto"/>
          <w:left w:val="single" w:sz="4" w:space="4" w:color="auto"/>
          <w:bottom w:val="single" w:sz="4" w:space="1" w:color="auto"/>
          <w:right w:val="single" w:sz="4" w:space="4" w:color="auto"/>
        </w:pBdr>
        <w:rPr>
          <w:rFonts w:cs="Calibri"/>
        </w:rPr>
      </w:pPr>
      <w:r w:rsidRPr="0073563F">
        <w:rPr>
          <w:rFonts w:cs="Calibri"/>
        </w:rPr>
        <w:t>USTANOVENÍ O KONTROLE A AUDITU PRONAJÍMATELE</w:t>
      </w:r>
    </w:p>
    <w:p w14:paraId="526574E5" w14:textId="3BCB0AE0" w:rsidR="00182EBC" w:rsidRPr="0073563F" w:rsidRDefault="00182EBC" w:rsidP="006819F6">
      <w:pPr>
        <w:pStyle w:val="Odstavecseseznamem"/>
        <w:numPr>
          <w:ilvl w:val="0"/>
          <w:numId w:val="16"/>
        </w:numPr>
        <w:jc w:val="both"/>
        <w:rPr>
          <w:rFonts w:ascii="Calibri" w:hAnsi="Calibri" w:cs="Calibri"/>
          <w:lang w:eastAsia="cs-CZ"/>
        </w:rPr>
      </w:pPr>
      <w:r w:rsidRPr="0073563F">
        <w:rPr>
          <w:rFonts w:ascii="Calibri" w:hAnsi="Calibri" w:cs="Calibri"/>
          <w:lang w:eastAsia="cs-CZ"/>
        </w:rPr>
        <w:t>Pronajímatel se na žádost MSDC účastní auditu náležité</w:t>
      </w:r>
      <w:r w:rsidR="00712CDE" w:rsidRPr="0073563F">
        <w:rPr>
          <w:rFonts w:ascii="Calibri" w:hAnsi="Calibri" w:cs="Calibri"/>
          <w:lang w:eastAsia="cs-CZ"/>
        </w:rPr>
        <w:t xml:space="preserve"> péče</w:t>
      </w:r>
      <w:r w:rsidRPr="0073563F">
        <w:rPr>
          <w:rFonts w:ascii="Calibri" w:hAnsi="Calibri" w:cs="Calibri"/>
          <w:lang w:eastAsia="cs-CZ"/>
        </w:rPr>
        <w:t xml:space="preserve"> (</w:t>
      </w:r>
      <w:proofErr w:type="spellStart"/>
      <w:r w:rsidRPr="0073563F">
        <w:rPr>
          <w:rFonts w:ascii="Calibri" w:hAnsi="Calibri" w:cs="Calibri"/>
          <w:lang w:eastAsia="cs-CZ"/>
        </w:rPr>
        <w:t>due</w:t>
      </w:r>
      <w:proofErr w:type="spellEnd"/>
      <w:r w:rsidRPr="0073563F">
        <w:rPr>
          <w:rFonts w:ascii="Calibri" w:hAnsi="Calibri" w:cs="Calibri"/>
          <w:lang w:eastAsia="cs-CZ"/>
        </w:rPr>
        <w:t xml:space="preserve"> diligence) v oblasti bezpečnosti MSDC, jehož cílem bude posoudit přiměřenost zásad Pronajímatele služeb u ochrany informaci a zajišťování bezpečnostních opatření, používaných k poskytování služeb dle smlouvy.</w:t>
      </w:r>
    </w:p>
    <w:p w14:paraId="151A2C9C" w14:textId="77777777" w:rsidR="005C4712" w:rsidRPr="0073563F" w:rsidRDefault="005C4712" w:rsidP="006819F6">
      <w:pPr>
        <w:pStyle w:val="Odstavecseseznamem"/>
        <w:numPr>
          <w:ilvl w:val="0"/>
          <w:numId w:val="16"/>
        </w:numPr>
        <w:jc w:val="both"/>
        <w:rPr>
          <w:rFonts w:ascii="Calibri" w:hAnsi="Calibri" w:cs="Calibri"/>
          <w:lang w:eastAsia="cs-CZ"/>
        </w:rPr>
      </w:pPr>
      <w:r w:rsidRPr="0073563F">
        <w:rPr>
          <w:rFonts w:ascii="Calibri" w:hAnsi="Calibri" w:cs="Calibri"/>
          <w:lang w:eastAsia="cs-CZ"/>
        </w:rPr>
        <w:t>Pronajímatel služeb souhlasí s tím, že poskytne MSDC veškeré informace potřebné k prokázání souladu se smlouvou, včetně, mimo jiné, záznamů o kontrole slabých míst v oblasti bezpečnosti a kontrolních seznamů, síťových připojení, síťových diagramů, datových toků, datových prvků a protokolů mezi systémy a zařízeními MSDC a systémy a zařízeními Pronajímatele služeb.  </w:t>
      </w:r>
    </w:p>
    <w:p w14:paraId="3F916A5E" w14:textId="317B310E" w:rsidR="005C4712" w:rsidRPr="0073563F" w:rsidRDefault="005C4712" w:rsidP="006819F6">
      <w:pPr>
        <w:pStyle w:val="Odstavecseseznamem"/>
        <w:numPr>
          <w:ilvl w:val="0"/>
          <w:numId w:val="16"/>
        </w:numPr>
        <w:jc w:val="both"/>
        <w:rPr>
          <w:rFonts w:ascii="Calibri" w:hAnsi="Calibri" w:cs="Calibri"/>
          <w:lang w:eastAsia="cs-CZ"/>
        </w:rPr>
      </w:pPr>
      <w:r w:rsidRPr="0073563F">
        <w:rPr>
          <w:rFonts w:ascii="Calibri" w:hAnsi="Calibri" w:cs="Calibri"/>
          <w:lang w:eastAsia="cs-CZ"/>
        </w:rPr>
        <w:t>Pronajímatel služeb souhlasí s tím, aby MSDC nebo její auditoři mohli po jeho předchozím písemném informování</w:t>
      </w:r>
      <w:r w:rsidR="00712CDE" w:rsidRPr="0073563F">
        <w:rPr>
          <w:rFonts w:ascii="Calibri" w:hAnsi="Calibri" w:cs="Calibri"/>
          <w:lang w:eastAsia="cs-CZ"/>
        </w:rPr>
        <w:t xml:space="preserve">, </w:t>
      </w:r>
      <w:r w:rsidRPr="0073563F">
        <w:rPr>
          <w:rFonts w:ascii="Calibri" w:hAnsi="Calibri" w:cs="Calibri"/>
          <w:lang w:eastAsia="cs-CZ"/>
        </w:rPr>
        <w:t>min</w:t>
      </w:r>
      <w:r w:rsidR="00712CDE" w:rsidRPr="0073563F">
        <w:rPr>
          <w:rFonts w:ascii="Calibri" w:hAnsi="Calibri" w:cs="Calibri"/>
          <w:lang w:eastAsia="cs-CZ"/>
        </w:rPr>
        <w:t>imálně</w:t>
      </w:r>
      <w:r w:rsidRPr="0073563F">
        <w:rPr>
          <w:rFonts w:ascii="Calibri" w:hAnsi="Calibri" w:cs="Calibri"/>
          <w:lang w:eastAsia="cs-CZ"/>
        </w:rPr>
        <w:t xml:space="preserve"> 5 pracovních dnů předem, provádět fyzické kontroly zařízení, která zpracovávají data MSDC.  </w:t>
      </w:r>
    </w:p>
    <w:p w14:paraId="4944AD4E" w14:textId="3D2CD2B9" w:rsidR="005C4712" w:rsidRPr="0073563F" w:rsidRDefault="005C4712" w:rsidP="006819F6">
      <w:pPr>
        <w:pStyle w:val="Odstavecseseznamem"/>
        <w:numPr>
          <w:ilvl w:val="0"/>
          <w:numId w:val="16"/>
        </w:numPr>
        <w:jc w:val="both"/>
        <w:rPr>
          <w:rFonts w:ascii="Calibri" w:hAnsi="Calibri" w:cs="Calibri"/>
        </w:rPr>
      </w:pPr>
      <w:r w:rsidRPr="0073563F">
        <w:rPr>
          <w:rFonts w:ascii="Calibri" w:hAnsi="Calibri" w:cs="Calibri"/>
        </w:rPr>
        <w:t>Pronajímatel služeb souhlasí s tím, že poskytne dokumentaci nebo její část, týkající se auditů bezpečnosti informací třetích stran provedených u jeho zařízení nebo systémů použitých při plnění smlouvy. Pronajímatel služeb dále zajistí, aby stejnou zprávu z auditu předložili také jeho poddodavatelé, kteří se podílejí na plnění smlouvy.</w:t>
      </w:r>
    </w:p>
    <w:p w14:paraId="5A609811" w14:textId="6D4B080B" w:rsidR="005C4712" w:rsidRPr="0073563F" w:rsidRDefault="005C4712" w:rsidP="006819F6">
      <w:pPr>
        <w:pStyle w:val="Odstavecseseznamem"/>
        <w:numPr>
          <w:ilvl w:val="0"/>
          <w:numId w:val="16"/>
        </w:numPr>
        <w:jc w:val="both"/>
        <w:rPr>
          <w:rFonts w:ascii="Calibri" w:hAnsi="Calibri" w:cs="Calibri"/>
        </w:rPr>
      </w:pPr>
      <w:r w:rsidRPr="0073563F">
        <w:rPr>
          <w:rFonts w:ascii="Calibri" w:hAnsi="Calibri" w:cs="Calibri"/>
        </w:rPr>
        <w:t>Pronajímatel služeb se zavazuje, že opraví veškeré nedostatky nebo slabá místa v oblasti bezpečnosti, jež se dotýkají VDS, které budou těmito audity zjištěny, a to na vlastní náklady a v přiměřené lhůtě dle požadavků MSDC.</w:t>
      </w:r>
    </w:p>
    <w:p w14:paraId="7700F078" w14:textId="77777777" w:rsidR="0073563F" w:rsidRPr="0073563F" w:rsidRDefault="0073563F" w:rsidP="006819F6">
      <w:pPr>
        <w:pStyle w:val="Odstavecseseznamem"/>
        <w:jc w:val="both"/>
        <w:rPr>
          <w:rFonts w:ascii="Calibri" w:hAnsi="Calibri" w:cs="Calibri"/>
        </w:rPr>
      </w:pPr>
    </w:p>
    <w:p w14:paraId="410AF24D" w14:textId="77777777" w:rsidR="0073563F" w:rsidRPr="0073563F" w:rsidRDefault="0073563F" w:rsidP="006819F6">
      <w:pPr>
        <w:pStyle w:val="Odstavecseseznamem"/>
        <w:jc w:val="both"/>
        <w:rPr>
          <w:rFonts w:ascii="Calibri" w:hAnsi="Calibri" w:cs="Calibri"/>
        </w:rPr>
      </w:pPr>
    </w:p>
    <w:p w14:paraId="4868DA4D" w14:textId="77777777" w:rsidR="0073563F" w:rsidRDefault="0073563F" w:rsidP="006819F6">
      <w:pPr>
        <w:pStyle w:val="Odstavecseseznamem"/>
        <w:jc w:val="both"/>
        <w:rPr>
          <w:rFonts w:ascii="Calibri" w:hAnsi="Calibri" w:cs="Calibri"/>
        </w:rPr>
      </w:pPr>
    </w:p>
    <w:p w14:paraId="010E8EE1" w14:textId="77777777" w:rsidR="0073563F" w:rsidRPr="0073563F" w:rsidRDefault="0073563F" w:rsidP="006819F6">
      <w:pPr>
        <w:pStyle w:val="Odstavecseseznamem"/>
        <w:jc w:val="both"/>
        <w:rPr>
          <w:rFonts w:ascii="Calibri" w:hAnsi="Calibri" w:cs="Calibri"/>
        </w:rPr>
      </w:pPr>
    </w:p>
    <w:p w14:paraId="00F2078F" w14:textId="77777777" w:rsidR="007116C6" w:rsidRPr="0073563F" w:rsidRDefault="007116C6" w:rsidP="0073563F">
      <w:pPr>
        <w:pStyle w:val="Nadpis1"/>
        <w:pBdr>
          <w:top w:val="single" w:sz="4" w:space="1" w:color="auto"/>
          <w:left w:val="single" w:sz="4" w:space="4" w:color="auto"/>
          <w:bottom w:val="single" w:sz="4" w:space="1" w:color="auto"/>
          <w:right w:val="single" w:sz="4" w:space="4" w:color="auto"/>
        </w:pBdr>
        <w:rPr>
          <w:rFonts w:cs="Calibri"/>
        </w:rPr>
      </w:pPr>
      <w:r w:rsidRPr="0073563F">
        <w:rPr>
          <w:rFonts w:cs="Calibri"/>
        </w:rPr>
        <w:t>USTANOVENÍ O POVINNOSTI PRONAJÍMATELE DODRŽOVAT BEZPEČNOSTNÍ POLITIKY </w:t>
      </w:r>
    </w:p>
    <w:p w14:paraId="60189D96" w14:textId="4FB33E90" w:rsidR="007116C6" w:rsidRPr="0073563F" w:rsidRDefault="007116C6" w:rsidP="007116C6">
      <w:pPr>
        <w:rPr>
          <w:rFonts w:ascii="Calibri" w:hAnsi="Calibri" w:cs="Calibri"/>
        </w:rPr>
      </w:pPr>
      <w:r w:rsidRPr="0073563F">
        <w:rPr>
          <w:rFonts w:ascii="Calibri" w:hAnsi="Calibri" w:cs="Calibri"/>
        </w:rPr>
        <w:t>Pronajímatel je povinen se řídit následujícími pravidly:</w:t>
      </w:r>
    </w:p>
    <w:p w14:paraId="3BB8415E" w14:textId="2ECE7800" w:rsidR="007116C6" w:rsidRPr="0073563F" w:rsidRDefault="007116C6" w:rsidP="007116C6">
      <w:pPr>
        <w:pStyle w:val="Nadpis2"/>
        <w:rPr>
          <w:rStyle w:val="eop"/>
          <w:rFonts w:cs="Calibri"/>
          <w:szCs w:val="20"/>
          <w:u w:val="single"/>
        </w:rPr>
      </w:pPr>
      <w:r w:rsidRPr="0073563F">
        <w:rPr>
          <w:rStyle w:val="eop"/>
          <w:rFonts w:cs="Calibri"/>
          <w:szCs w:val="20"/>
          <w:u w:val="single"/>
        </w:rPr>
        <w:t>Ochrana informací MSDC</w:t>
      </w:r>
    </w:p>
    <w:p w14:paraId="1C9C8FEF" w14:textId="662CD8BA" w:rsidR="00FF30E9" w:rsidRPr="0073563F" w:rsidRDefault="00FF30E9" w:rsidP="006819F6">
      <w:pPr>
        <w:pStyle w:val="Odstavecseseznamem"/>
        <w:numPr>
          <w:ilvl w:val="0"/>
          <w:numId w:val="22"/>
        </w:numPr>
        <w:jc w:val="both"/>
        <w:rPr>
          <w:rFonts w:ascii="Calibri" w:hAnsi="Calibri" w:cs="Calibri"/>
        </w:rPr>
      </w:pPr>
      <w:r w:rsidRPr="0073563F">
        <w:rPr>
          <w:rFonts w:ascii="Calibri" w:hAnsi="Calibri" w:cs="Calibri"/>
        </w:rPr>
        <w:t xml:space="preserve">Veškerá data, informace a údaje přenášená přes VDS, jejímž původcem je </w:t>
      </w:r>
      <w:r w:rsidR="00BC1257" w:rsidRPr="0073563F">
        <w:rPr>
          <w:rFonts w:ascii="Calibri" w:hAnsi="Calibri" w:cs="Calibri"/>
        </w:rPr>
        <w:t>MSDC</w:t>
      </w:r>
      <w:r w:rsidRPr="0073563F">
        <w:rPr>
          <w:rFonts w:ascii="Calibri" w:hAnsi="Calibri" w:cs="Calibri"/>
        </w:rPr>
        <w:t xml:space="preserve"> či </w:t>
      </w:r>
      <w:r w:rsidR="00EA071B" w:rsidRPr="0073563F">
        <w:rPr>
          <w:rFonts w:ascii="Calibri" w:hAnsi="Calibri" w:cs="Calibri"/>
        </w:rPr>
        <w:t xml:space="preserve">příspěvkové organizace (PO), které VDS využívají, </w:t>
      </w:r>
      <w:r w:rsidRPr="0073563F">
        <w:rPr>
          <w:rFonts w:ascii="Calibri" w:hAnsi="Calibri" w:cs="Calibri"/>
        </w:rPr>
        <w:t xml:space="preserve">jsou považovány za citlivé informace a jsou dle interní klasifikace informací </w:t>
      </w:r>
      <w:r w:rsidR="00BC1257" w:rsidRPr="0073563F">
        <w:rPr>
          <w:rFonts w:ascii="Calibri" w:hAnsi="Calibri" w:cs="Calibri"/>
        </w:rPr>
        <w:t xml:space="preserve">MSDC </w:t>
      </w:r>
      <w:r w:rsidRPr="0073563F">
        <w:rPr>
          <w:rFonts w:ascii="Calibri" w:hAnsi="Calibri" w:cs="Calibri"/>
        </w:rPr>
        <w:t>považovány za chráněné.</w:t>
      </w:r>
    </w:p>
    <w:p w14:paraId="1FF658D0" w14:textId="1808796F" w:rsidR="00BC1257" w:rsidRPr="0073563F" w:rsidRDefault="00BC1257" w:rsidP="006819F6">
      <w:pPr>
        <w:pStyle w:val="Odstavecseseznamem"/>
        <w:numPr>
          <w:ilvl w:val="0"/>
          <w:numId w:val="22"/>
        </w:numPr>
        <w:jc w:val="both"/>
        <w:rPr>
          <w:rFonts w:ascii="Calibri" w:hAnsi="Calibri" w:cs="Calibri"/>
        </w:rPr>
      </w:pPr>
      <w:r w:rsidRPr="0073563F">
        <w:rPr>
          <w:rFonts w:ascii="Calibri" w:hAnsi="Calibri" w:cs="Calibri"/>
        </w:rPr>
        <w:t>Poskytovatel zajistí prokazatelné zaškolení jeho oprávněných zaměstnanců z hlediska dodržování ochrany a důvěrnosti citlivých a osobních údajů, jakož i obchodního tajemství, a poučení o jejich závazku mlčenlivosti, a že tato mlčenlivost trvá i po skončení plnění této smlouvy.</w:t>
      </w:r>
    </w:p>
    <w:p w14:paraId="368D0AB9" w14:textId="22060C38" w:rsidR="00BC1257" w:rsidRPr="0073563F" w:rsidRDefault="00BC1257" w:rsidP="006819F6">
      <w:pPr>
        <w:pStyle w:val="Odstavecseseznamem"/>
        <w:numPr>
          <w:ilvl w:val="0"/>
          <w:numId w:val="22"/>
        </w:numPr>
        <w:jc w:val="both"/>
        <w:rPr>
          <w:rFonts w:ascii="Calibri" w:hAnsi="Calibri" w:cs="Calibri"/>
        </w:rPr>
      </w:pPr>
      <w:r w:rsidRPr="0073563F">
        <w:rPr>
          <w:rFonts w:ascii="Calibri" w:hAnsi="Calibri" w:cs="Calibri"/>
        </w:rPr>
        <w:t>Poskytovatel se zavazuje, že v žádném případě nebudou jeho zaměstnanci přistupovat k citlivým informacím a osobním údajům (včetně zvláštní kategorie údajů), které spravuje nebo jimiž disponuje MSDC či PO a tyto jsou přenášeny přes VDS, ani je jakýmkoli způsobem zpracovávat, či pozměňovat jejich důvěrnost, integritu a dostupnost.</w:t>
      </w:r>
    </w:p>
    <w:p w14:paraId="3A4A525E" w14:textId="02F4379F" w:rsidR="00BC1257" w:rsidRPr="0073563F" w:rsidRDefault="00BC1257" w:rsidP="006819F6">
      <w:pPr>
        <w:pStyle w:val="Odstavecseseznamem"/>
        <w:numPr>
          <w:ilvl w:val="0"/>
          <w:numId w:val="22"/>
        </w:numPr>
        <w:jc w:val="both"/>
        <w:rPr>
          <w:rFonts w:ascii="Calibri" w:hAnsi="Calibri" w:cs="Calibri"/>
        </w:rPr>
      </w:pPr>
      <w:r w:rsidRPr="0073563F">
        <w:rPr>
          <w:rFonts w:ascii="Calibri" w:hAnsi="Calibri" w:cs="Calibri"/>
        </w:rPr>
        <w:t>Poskytovatel se zavazuje, že citlivé informace MSDC a PO, jakož i osobní údaje fyzických osob, s nimiž (případně) přijde do kontaktu při poskytování služeb pro VDS nezveřejní, nepředá třetí osobě a ani jinak neumožní, aby se s údaji seznámila osoba, která k tomu nemá oprávnění.</w:t>
      </w:r>
    </w:p>
    <w:p w14:paraId="0918A2D9" w14:textId="4F14F4C2" w:rsidR="00BC1257" w:rsidRPr="0073563F" w:rsidRDefault="00BC1257" w:rsidP="006819F6">
      <w:pPr>
        <w:pStyle w:val="Odstavecseseznamem"/>
        <w:numPr>
          <w:ilvl w:val="0"/>
          <w:numId w:val="22"/>
        </w:numPr>
        <w:jc w:val="both"/>
        <w:rPr>
          <w:rFonts w:ascii="Calibri" w:hAnsi="Calibri" w:cs="Calibri"/>
        </w:rPr>
      </w:pPr>
      <w:r w:rsidRPr="0073563F">
        <w:rPr>
          <w:rFonts w:ascii="Calibri" w:hAnsi="Calibri" w:cs="Calibri"/>
        </w:rPr>
        <w:t>Poskytovatel je povinen smluvně zavázat všechny své poddodavatele k dodržování rovnocenných povinností, kterými je ve vztahu k provozovateli vázán sám poskytovatel tak, aby byl zachován smluvními stranami sjednaný bezpečnostní standard.</w:t>
      </w:r>
    </w:p>
    <w:p w14:paraId="3B49C940" w14:textId="19E8A06B" w:rsidR="00FB5234" w:rsidRPr="0073563F" w:rsidRDefault="00FB5234" w:rsidP="006819F6">
      <w:pPr>
        <w:pStyle w:val="Nadpis2"/>
        <w:jc w:val="both"/>
        <w:rPr>
          <w:rFonts w:cs="Calibri"/>
          <w:u w:val="single"/>
        </w:rPr>
      </w:pPr>
      <w:r w:rsidRPr="0073563F">
        <w:rPr>
          <w:rFonts w:cs="Calibri"/>
          <w:u w:val="single"/>
        </w:rPr>
        <w:t>Pravidla fyzické bezpečnosti</w:t>
      </w:r>
    </w:p>
    <w:p w14:paraId="2E21150A" w14:textId="781B0A3D" w:rsidR="00FB5234" w:rsidRPr="0073563F" w:rsidRDefault="00FB5234" w:rsidP="006819F6">
      <w:pPr>
        <w:pStyle w:val="Odstavecseseznamem"/>
        <w:numPr>
          <w:ilvl w:val="0"/>
          <w:numId w:val="23"/>
        </w:numPr>
        <w:jc w:val="both"/>
        <w:rPr>
          <w:rFonts w:ascii="Calibri" w:hAnsi="Calibri" w:cs="Calibri"/>
        </w:rPr>
      </w:pPr>
      <w:r w:rsidRPr="0073563F">
        <w:rPr>
          <w:rFonts w:ascii="Calibri" w:hAnsi="Calibri" w:cs="Calibri"/>
        </w:rPr>
        <w:t>Technologické místnosti (serverovny a koncové body VDS) jsou identifikovány jako prostory se zvláštním režimem.</w:t>
      </w:r>
    </w:p>
    <w:p w14:paraId="72157265" w14:textId="1F7DE1E5" w:rsidR="00FB5234" w:rsidRPr="0073563F" w:rsidRDefault="00FB5234" w:rsidP="006819F6">
      <w:pPr>
        <w:pStyle w:val="Odstavecseseznamem"/>
        <w:numPr>
          <w:ilvl w:val="0"/>
          <w:numId w:val="23"/>
        </w:numPr>
        <w:jc w:val="both"/>
        <w:rPr>
          <w:rFonts w:ascii="Calibri" w:hAnsi="Calibri" w:cs="Calibri"/>
        </w:rPr>
      </w:pPr>
      <w:r w:rsidRPr="0073563F">
        <w:rPr>
          <w:rFonts w:ascii="Calibri" w:hAnsi="Calibri" w:cs="Calibri"/>
        </w:rPr>
        <w:t>Zvláštním režimem dle předchozího bodu se zejména rozumí přístup do technologických místností pouze oprávněnými osobami stanovenými poskytovatelem a schválenými MSDC. Poskytovatel udržuje seznam těchto oprávněných zaměstnanců aktuální a neprodleně (do 24 hod.) informuje provozovatele o změnách tohoto seznamu a předkládá jeho nové znění ke schválení provozovateli.</w:t>
      </w:r>
    </w:p>
    <w:p w14:paraId="7D44349C" w14:textId="3F22DDFF" w:rsidR="00FB5234" w:rsidRPr="0073563F" w:rsidRDefault="00FB5234" w:rsidP="006819F6">
      <w:pPr>
        <w:pStyle w:val="Odstavecseseznamem"/>
        <w:numPr>
          <w:ilvl w:val="0"/>
          <w:numId w:val="23"/>
        </w:numPr>
        <w:jc w:val="both"/>
        <w:rPr>
          <w:rFonts w:ascii="Calibri" w:hAnsi="Calibri" w:cs="Calibri"/>
        </w:rPr>
      </w:pPr>
      <w:r w:rsidRPr="0073563F">
        <w:rPr>
          <w:rFonts w:ascii="Calibri" w:hAnsi="Calibri" w:cs="Calibri"/>
        </w:rPr>
        <w:t>Přístup jiným osobám, které nejsou uvedeny na seznamu dle předchozího bodu je možný pouze v doprovodu oprávněné osoby a po předchozím schválení provozovatelem.</w:t>
      </w:r>
    </w:p>
    <w:p w14:paraId="155CDE15" w14:textId="02E1865D" w:rsidR="00920330" w:rsidRPr="0073563F" w:rsidRDefault="00920330" w:rsidP="006819F6">
      <w:pPr>
        <w:pStyle w:val="Odstavecseseznamem"/>
        <w:numPr>
          <w:ilvl w:val="0"/>
          <w:numId w:val="23"/>
        </w:numPr>
        <w:jc w:val="both"/>
        <w:rPr>
          <w:rFonts w:ascii="Calibri" w:hAnsi="Calibri" w:cs="Calibri"/>
        </w:rPr>
      </w:pPr>
      <w:r w:rsidRPr="0073563F">
        <w:rPr>
          <w:rFonts w:ascii="Calibri" w:hAnsi="Calibri" w:cs="Calibri"/>
        </w:rPr>
        <w:t xml:space="preserve">Zaměstnanci provádějící servis v technologických místnostech, musí být seznámení a dodržovat zásady bezpečnosti v těchto objektech a technologických místnostech (předloží Nájemce </w:t>
      </w:r>
      <w:r w:rsidRPr="00F57F10">
        <w:rPr>
          <w:rFonts w:ascii="Calibri" w:hAnsi="Calibri" w:cs="Calibri"/>
        </w:rPr>
        <w:t xml:space="preserve">v souladu </w:t>
      </w:r>
      <w:r w:rsidR="001B65A8" w:rsidRPr="00F57F10">
        <w:rPr>
          <w:rFonts w:ascii="Calibri" w:hAnsi="Calibri" w:cs="Calibri"/>
        </w:rPr>
        <w:t>s odst.</w:t>
      </w:r>
      <w:r w:rsidRPr="00F57F10">
        <w:rPr>
          <w:rFonts w:ascii="Calibri" w:hAnsi="Calibri" w:cs="Calibri"/>
        </w:rPr>
        <w:t xml:space="preserve"> </w:t>
      </w:r>
      <w:r w:rsidR="0073563F" w:rsidRPr="00F57F10">
        <w:rPr>
          <w:rFonts w:ascii="Calibri" w:hAnsi="Calibri" w:cs="Calibri"/>
        </w:rPr>
        <w:t>9.</w:t>
      </w:r>
      <w:r w:rsidRPr="00F57F10">
        <w:rPr>
          <w:rFonts w:ascii="Calibri" w:hAnsi="Calibri" w:cs="Calibri"/>
        </w:rPr>
        <w:t>8</w:t>
      </w:r>
      <w:r w:rsidR="0073563F" w:rsidRPr="00F57F10">
        <w:rPr>
          <w:rFonts w:ascii="Calibri" w:hAnsi="Calibri" w:cs="Calibri"/>
        </w:rPr>
        <w:t>.</w:t>
      </w:r>
      <w:r w:rsidRPr="00F57F10">
        <w:rPr>
          <w:rFonts w:ascii="Calibri" w:hAnsi="Calibri" w:cs="Calibri"/>
        </w:rPr>
        <w:t xml:space="preserve"> Smlouvy</w:t>
      </w:r>
      <w:r w:rsidRPr="0073563F">
        <w:rPr>
          <w:rFonts w:ascii="Calibri" w:hAnsi="Calibri" w:cs="Calibri"/>
        </w:rPr>
        <w:t>), o čemž bude proveden písemný záznam podepsaný dotyčnými zaměstnanci. Příslušné záznamy o proškolení je pronajímatel povinen MSDC na vyzvání předložit k nahlédnutí ve lhůtě do 5 pracovních dnů.</w:t>
      </w:r>
    </w:p>
    <w:p w14:paraId="3F7DBD82" w14:textId="354563EA" w:rsidR="00F921E6" w:rsidRPr="0073563F" w:rsidRDefault="00A64100" w:rsidP="0073563F">
      <w:pPr>
        <w:pStyle w:val="Nadpis1"/>
        <w:pBdr>
          <w:top w:val="single" w:sz="4" w:space="1" w:color="auto"/>
          <w:left w:val="single" w:sz="4" w:space="4" w:color="auto"/>
          <w:bottom w:val="single" w:sz="4" w:space="1" w:color="auto"/>
          <w:right w:val="single" w:sz="4" w:space="4" w:color="auto"/>
        </w:pBdr>
        <w:rPr>
          <w:rFonts w:cs="Calibri"/>
        </w:rPr>
      </w:pPr>
      <w:r w:rsidRPr="0073563F">
        <w:rPr>
          <w:rFonts w:cs="Calibri"/>
        </w:rPr>
        <w:t>SPECIFIKACE PODMÍNEK Z POHLEDU BEZPEČNOSTI PŘI UKONČENÍ SMLOUVY</w:t>
      </w:r>
    </w:p>
    <w:p w14:paraId="397C192B" w14:textId="77777777" w:rsidR="00A64100" w:rsidRPr="0073563F" w:rsidRDefault="00A64100" w:rsidP="006819F6">
      <w:pPr>
        <w:pStyle w:val="Odstavecseseznamem"/>
        <w:numPr>
          <w:ilvl w:val="0"/>
          <w:numId w:val="17"/>
        </w:numPr>
        <w:jc w:val="both"/>
        <w:rPr>
          <w:rFonts w:ascii="Calibri" w:hAnsi="Calibri" w:cs="Calibri"/>
        </w:rPr>
      </w:pPr>
      <w:r w:rsidRPr="0073563F">
        <w:rPr>
          <w:rFonts w:ascii="Calibri" w:hAnsi="Calibri" w:cs="Calibri"/>
        </w:rPr>
        <w:t>Povinnost ochrany neveřejných a chráněných informací trvá bez ohledu na ukončení účinnosti této smlouvy.</w:t>
      </w:r>
      <w:r w:rsidRPr="0073563F">
        <w:rPr>
          <w:rStyle w:val="eop"/>
          <w:rFonts w:ascii="Calibri" w:hAnsi="Calibri" w:cs="Calibri"/>
          <w:szCs w:val="20"/>
        </w:rPr>
        <w:t> </w:t>
      </w:r>
    </w:p>
    <w:p w14:paraId="35F626BA" w14:textId="77777777" w:rsidR="00A64100" w:rsidRPr="0073563F" w:rsidRDefault="00A64100" w:rsidP="006819F6">
      <w:pPr>
        <w:pStyle w:val="Odstavecseseznamem"/>
        <w:numPr>
          <w:ilvl w:val="0"/>
          <w:numId w:val="17"/>
        </w:numPr>
        <w:jc w:val="both"/>
        <w:rPr>
          <w:rFonts w:ascii="Calibri" w:hAnsi="Calibri" w:cs="Calibri"/>
        </w:rPr>
      </w:pPr>
      <w:r w:rsidRPr="0073563F">
        <w:rPr>
          <w:rFonts w:ascii="Calibri" w:hAnsi="Calibri" w:cs="Calibri"/>
        </w:rPr>
        <w:t>V případě jakéhokoliv ukončení smlouvy se Pronajímatel zavazuje splnit následující povinnosti.</w:t>
      </w:r>
      <w:r w:rsidRPr="0073563F">
        <w:rPr>
          <w:rStyle w:val="eop"/>
          <w:rFonts w:ascii="Calibri" w:hAnsi="Calibri" w:cs="Calibri"/>
          <w:szCs w:val="20"/>
        </w:rPr>
        <w:t> </w:t>
      </w:r>
    </w:p>
    <w:p w14:paraId="754E08B8" w14:textId="77777777" w:rsidR="00A64100" w:rsidRPr="0073563F" w:rsidRDefault="00A64100" w:rsidP="006819F6">
      <w:pPr>
        <w:pStyle w:val="Odstavecseseznamem"/>
        <w:numPr>
          <w:ilvl w:val="0"/>
          <w:numId w:val="17"/>
        </w:numPr>
        <w:jc w:val="both"/>
        <w:rPr>
          <w:rStyle w:val="eop"/>
          <w:rFonts w:ascii="Calibri" w:hAnsi="Calibri" w:cs="Calibri"/>
          <w:szCs w:val="20"/>
        </w:rPr>
      </w:pPr>
      <w:r w:rsidRPr="0073563F">
        <w:rPr>
          <w:rFonts w:ascii="Calibri" w:hAnsi="Calibri" w:cs="Calibri"/>
        </w:rPr>
        <w:lastRenderedPageBreak/>
        <w:t xml:space="preserve">Pronajímatel se zavazuje dle pokynů MSDC poskytnout v rámci poskytování služeb veškerou potřebnou součinnost, informace a účastnit se jednání s MSDC a třetími osobami za účelem plynulého a řádného převedení služeb, jež jsou součástí plnění veřejné zakázky či jejich příslušné části na nového pronajímatele, ke kterému dojde po skončení účinnosti této Smlouvy. Pronajímatel se zavazuje poskytnout relevantní dokumentaci v aktualizovaném stavu, která byla vytvořena v rámci plnění předmětu této smlouvy a to formou, která bude předem písemně odsouhlasena MSDC. Pro účely plynulé změny v osobě nájemce se Pronajímatel zavazuje v dostatečném předstihu vypracovat na základě pokynu MSDC dokumentaci vymezující veškeré podmínky pro převedení služeb či jejich příslušné části na nového pronajímatele (dále jen „Exit plán“). Pronajímatel se zavazuje součinnost dle tohoto odstavce a Exit plánu poskytovat s odbornou péčí, zodpovědně a do doby úplného převzetí plnění novým pronajímatelem. </w:t>
      </w:r>
    </w:p>
    <w:p w14:paraId="2DF25FDD" w14:textId="77777777" w:rsidR="00A64100" w:rsidRPr="0073563F" w:rsidRDefault="00A64100" w:rsidP="006819F6">
      <w:pPr>
        <w:pStyle w:val="Odstavecseseznamem"/>
        <w:numPr>
          <w:ilvl w:val="0"/>
          <w:numId w:val="17"/>
        </w:numPr>
        <w:jc w:val="both"/>
        <w:rPr>
          <w:rStyle w:val="eop"/>
          <w:rFonts w:ascii="Calibri" w:hAnsi="Calibri" w:cs="Calibri"/>
        </w:rPr>
      </w:pPr>
      <w:r w:rsidRPr="0073563F">
        <w:rPr>
          <w:rFonts w:ascii="Calibri" w:hAnsi="Calibri" w:cs="Calibri"/>
        </w:rPr>
        <w:t>Pronajímatel se zavazuje vypracovat Exit plán do 1 měsíce od podpisu této smlouvy. Vypracováním Exit plánu se rozumí za dokončené písemným schválením ze strany MSDC. Smluvní strany se dohodly, že cena za vypracování Exit plánu a poskytnutí plnění nezbytného k realizaci tohoto Exit plánu je součástí ceny za poskytování služeb dle této smlouvy. Pronajímatel se zavazuje, že vypracovaný Exit plán bude zajišťovat plynulý přechod s minimálním dopadem na kontinuitu poskytované činnosti.</w:t>
      </w:r>
      <w:r w:rsidRPr="0073563F">
        <w:rPr>
          <w:rStyle w:val="eop"/>
          <w:rFonts w:ascii="Calibri" w:hAnsi="Calibri" w:cs="Calibri"/>
          <w:szCs w:val="20"/>
        </w:rPr>
        <w:t> </w:t>
      </w:r>
    </w:p>
    <w:p w14:paraId="1765EBD5" w14:textId="77777777" w:rsidR="00A60D26" w:rsidRPr="0073563F" w:rsidRDefault="00A60D26" w:rsidP="006819F6">
      <w:pPr>
        <w:pStyle w:val="Odstavecseseznamem"/>
        <w:numPr>
          <w:ilvl w:val="0"/>
          <w:numId w:val="17"/>
        </w:numPr>
        <w:jc w:val="both"/>
        <w:rPr>
          <w:rStyle w:val="eop"/>
          <w:rFonts w:ascii="Calibri" w:hAnsi="Calibri" w:cs="Calibri"/>
          <w:szCs w:val="20"/>
        </w:rPr>
      </w:pPr>
      <w:r w:rsidRPr="0073563F">
        <w:rPr>
          <w:rStyle w:val="eop"/>
          <w:rFonts w:ascii="Calibri" w:hAnsi="Calibri" w:cs="Calibri"/>
          <w:szCs w:val="20"/>
        </w:rPr>
        <w:t xml:space="preserve">O řádném splnění povinností Pronajímatele dle tohoto článku bude sepsán akceptační protokol, který bude podepsán oběma smluvními stranami. </w:t>
      </w:r>
    </w:p>
    <w:p w14:paraId="7690E094" w14:textId="482EC4CC" w:rsidR="00A60D26" w:rsidRPr="0073563F" w:rsidRDefault="00A60D26" w:rsidP="0073563F">
      <w:pPr>
        <w:pStyle w:val="Nadpis1"/>
        <w:pBdr>
          <w:top w:val="single" w:sz="4" w:space="1" w:color="auto"/>
          <w:left w:val="single" w:sz="4" w:space="4" w:color="auto"/>
          <w:bottom w:val="single" w:sz="4" w:space="1" w:color="auto"/>
          <w:right w:val="single" w:sz="4" w:space="4" w:color="auto"/>
        </w:pBdr>
        <w:rPr>
          <w:rFonts w:cs="Calibri"/>
        </w:rPr>
      </w:pPr>
      <w:r w:rsidRPr="0073563F">
        <w:rPr>
          <w:rFonts w:cs="Calibri"/>
        </w:rPr>
        <w:t>SPECIFIKACE PODMÍNEK PRO ŘÍZENÍ KONTINUITY ČINNOSTÍ V SOUVISLOSTI S DODAVATELI</w:t>
      </w:r>
    </w:p>
    <w:p w14:paraId="2B0CE6BB" w14:textId="77777777" w:rsidR="00A60D26" w:rsidRPr="0073563F" w:rsidRDefault="00A60D26" w:rsidP="006819F6">
      <w:pPr>
        <w:pStyle w:val="Odstavecseseznamem"/>
        <w:numPr>
          <w:ilvl w:val="0"/>
          <w:numId w:val="19"/>
        </w:numPr>
        <w:jc w:val="both"/>
        <w:rPr>
          <w:rFonts w:ascii="Calibri" w:hAnsi="Calibri" w:cs="Calibri"/>
        </w:rPr>
      </w:pPr>
      <w:r w:rsidRPr="0073563F">
        <w:rPr>
          <w:rFonts w:ascii="Calibri" w:hAnsi="Calibri" w:cs="Calibri"/>
        </w:rPr>
        <w:t xml:space="preserve">MSDC má oprávnění zapojit Pronajímatele do řízení kontinuity činností, zejména havarijních plánů, které souvisí s plněním smlouvy. </w:t>
      </w:r>
    </w:p>
    <w:p w14:paraId="5CEA83B4" w14:textId="77777777" w:rsidR="00A60D26" w:rsidRPr="0073563F" w:rsidRDefault="00A60D26" w:rsidP="006819F6">
      <w:pPr>
        <w:pStyle w:val="Odstavecseseznamem"/>
        <w:numPr>
          <w:ilvl w:val="0"/>
          <w:numId w:val="19"/>
        </w:numPr>
        <w:jc w:val="both"/>
        <w:rPr>
          <w:rFonts w:ascii="Calibri" w:hAnsi="Calibri" w:cs="Calibri"/>
        </w:rPr>
      </w:pPr>
      <w:r w:rsidRPr="0073563F">
        <w:rPr>
          <w:rFonts w:ascii="Calibri" w:hAnsi="Calibri" w:cs="Calibri"/>
        </w:rPr>
        <w:t>Pronajímatel vypracuje a bude udržovat v platnosti plán/y pro obnovení činnosti, jenž zajistí kontinuitu provozu a procesů poskytovaných služeb pro MSDC, které jsou důležité pro její poslání a činnost a ochranu jejích dat. Pronajímatel předloží MSDC minimálně jednou v kalendářním roce veškeré plány pro obnovení včetně případných aktualizací, včetně výsledků ročních testů, které budou potvrzovat, že její procesy jsou v souladu s plánem pro obnovení poskytovaných služeb.  Pokud dojde k významné změně, která by jakýmkoliv způsobem měla vliv na dostupnost, integritu a důvěrnost poskytované služby, je Pronajímatel povinen plán bezodkladně aktualizovat a tuto aktualizaci předložit MSDC ke schválení.</w:t>
      </w:r>
    </w:p>
    <w:p w14:paraId="72730991" w14:textId="77777777" w:rsidR="00A60D26" w:rsidRPr="0073563F" w:rsidRDefault="00A60D26" w:rsidP="006819F6">
      <w:pPr>
        <w:pStyle w:val="Odstavecseseznamem"/>
        <w:numPr>
          <w:ilvl w:val="0"/>
          <w:numId w:val="19"/>
        </w:numPr>
        <w:jc w:val="both"/>
        <w:rPr>
          <w:rFonts w:ascii="Calibri" w:hAnsi="Calibri" w:cs="Calibri"/>
        </w:rPr>
      </w:pPr>
      <w:r w:rsidRPr="0073563F">
        <w:rPr>
          <w:rFonts w:ascii="Calibri" w:hAnsi="Calibri" w:cs="Calibri"/>
        </w:rPr>
        <w:t xml:space="preserve">Pronajímatel služeb souhlasí s tím, aby se MSDC nebo její auditoři mohli po jejím předchozím informování, účastnit prováděných testů obnovy služeb poskytovaných pro VDS. </w:t>
      </w:r>
    </w:p>
    <w:p w14:paraId="74B76718" w14:textId="29B303EB" w:rsidR="00A60D26" w:rsidRPr="0073563F" w:rsidRDefault="00A60D26" w:rsidP="0073563F">
      <w:pPr>
        <w:pStyle w:val="Nadpis1"/>
        <w:pBdr>
          <w:top w:val="single" w:sz="4" w:space="1" w:color="auto"/>
          <w:left w:val="single" w:sz="4" w:space="4" w:color="auto"/>
          <w:bottom w:val="single" w:sz="4" w:space="1" w:color="auto"/>
          <w:right w:val="single" w:sz="4" w:space="4" w:color="auto"/>
        </w:pBdr>
        <w:rPr>
          <w:rFonts w:cs="Calibri"/>
        </w:rPr>
      </w:pPr>
      <w:r w:rsidRPr="0073563F">
        <w:rPr>
          <w:rFonts w:cs="Calibri"/>
        </w:rPr>
        <w:t>SPECIFIKACE PODMÍNEK PRO FORMÁT PŘEDÁNÍ DAT, PROVOZNÍCH ÚDAJŮ A INFORMACÍ PO VYŽÁDÁNÍ SPRÁVCEM</w:t>
      </w:r>
    </w:p>
    <w:p w14:paraId="0DE69F5A" w14:textId="77777777" w:rsidR="00A60D26" w:rsidRPr="0073563F" w:rsidRDefault="00A60D26" w:rsidP="00A60D26">
      <w:pPr>
        <w:pStyle w:val="Odstavecseseznamem"/>
        <w:numPr>
          <w:ilvl w:val="0"/>
          <w:numId w:val="20"/>
        </w:numPr>
        <w:rPr>
          <w:rFonts w:ascii="Calibri" w:hAnsi="Calibri" w:cs="Calibri"/>
        </w:rPr>
      </w:pPr>
      <w:r w:rsidRPr="0073563F">
        <w:rPr>
          <w:rFonts w:ascii="Calibri" w:hAnsi="Calibri" w:cs="Calibri"/>
        </w:rPr>
        <w:t xml:space="preserve">Formát a předání dat musí být dopředu odsouhlasen MSDC. </w:t>
      </w:r>
    </w:p>
    <w:p w14:paraId="4C4F0709" w14:textId="268F7E2F" w:rsidR="00712CDE" w:rsidRPr="0073563F" w:rsidRDefault="00A60D26" w:rsidP="006819F6">
      <w:pPr>
        <w:pStyle w:val="Odstavecseseznamem"/>
        <w:numPr>
          <w:ilvl w:val="0"/>
          <w:numId w:val="20"/>
        </w:numPr>
        <w:jc w:val="both"/>
        <w:rPr>
          <w:rFonts w:ascii="Calibri" w:hAnsi="Calibri" w:cs="Calibri"/>
        </w:rPr>
      </w:pPr>
      <w:r w:rsidRPr="0073563F">
        <w:rPr>
          <w:rFonts w:ascii="Calibri" w:hAnsi="Calibri" w:cs="Calibri"/>
        </w:rPr>
        <w:t>Pronajímatel je povinen na vyžádání poskytnout informace MSDC o provozních údajích dodávané služby (a to i zpětně) ve standardizovaných zpracovatelných formátech (</w:t>
      </w:r>
      <w:proofErr w:type="gramStart"/>
      <w:r w:rsidRPr="0073563F">
        <w:rPr>
          <w:rFonts w:ascii="Calibri" w:hAnsi="Calibri" w:cs="Calibri"/>
        </w:rPr>
        <w:t>např. .</w:t>
      </w:r>
      <w:proofErr w:type="spellStart"/>
      <w:r w:rsidRPr="0073563F">
        <w:rPr>
          <w:rFonts w:ascii="Calibri" w:hAnsi="Calibri" w:cs="Calibri"/>
        </w:rPr>
        <w:t>json</w:t>
      </w:r>
      <w:proofErr w:type="spellEnd"/>
      <w:proofErr w:type="gramEnd"/>
      <w:r w:rsidRPr="0073563F">
        <w:rPr>
          <w:rFonts w:ascii="Calibri" w:hAnsi="Calibri" w:cs="Calibri"/>
        </w:rPr>
        <w:t>, .</w:t>
      </w:r>
      <w:proofErr w:type="spellStart"/>
      <w:r w:rsidRPr="0073563F">
        <w:rPr>
          <w:rFonts w:ascii="Calibri" w:hAnsi="Calibri" w:cs="Calibri"/>
        </w:rPr>
        <w:t>csv</w:t>
      </w:r>
      <w:proofErr w:type="spellEnd"/>
      <w:r w:rsidRPr="0073563F">
        <w:rPr>
          <w:rFonts w:ascii="Calibri" w:hAnsi="Calibri" w:cs="Calibri"/>
        </w:rPr>
        <w:t>, čistý text aj.).</w:t>
      </w:r>
    </w:p>
    <w:p w14:paraId="0ECDB199" w14:textId="77777777" w:rsidR="00712CDE" w:rsidRPr="0073563F" w:rsidRDefault="00712CDE" w:rsidP="0073563F">
      <w:pPr>
        <w:pStyle w:val="Nadpis1"/>
        <w:pBdr>
          <w:top w:val="single" w:sz="4" w:space="1" w:color="auto"/>
          <w:left w:val="single" w:sz="4" w:space="4" w:color="auto"/>
          <w:bottom w:val="single" w:sz="4" w:space="1" w:color="auto"/>
          <w:right w:val="single" w:sz="4" w:space="4" w:color="auto"/>
        </w:pBdr>
        <w:rPr>
          <w:rFonts w:cs="Calibri"/>
        </w:rPr>
      </w:pPr>
      <w:r w:rsidRPr="0073563F">
        <w:rPr>
          <w:rFonts w:cs="Calibri"/>
        </w:rPr>
        <w:t>USTANOVENÍ O ŘÍZENÍ ZMĚN</w:t>
      </w:r>
    </w:p>
    <w:p w14:paraId="2BFDB125" w14:textId="678A4267" w:rsidR="00426840" w:rsidRPr="0073563F" w:rsidRDefault="00426840" w:rsidP="006819F6">
      <w:pPr>
        <w:pStyle w:val="Odstavecseseznamem"/>
        <w:numPr>
          <w:ilvl w:val="0"/>
          <w:numId w:val="24"/>
        </w:numPr>
        <w:jc w:val="both"/>
        <w:rPr>
          <w:rFonts w:ascii="Calibri" w:hAnsi="Calibri" w:cs="Calibri"/>
        </w:rPr>
      </w:pPr>
      <w:r w:rsidRPr="0073563F">
        <w:rPr>
          <w:rFonts w:ascii="Calibri" w:hAnsi="Calibri" w:cs="Calibri"/>
        </w:rPr>
        <w:t>Všechny změny, které ovlivňují veřejnou zakázku, musí být řízeny. Změny se rozlišují na významné a ostatní.</w:t>
      </w:r>
    </w:p>
    <w:p w14:paraId="46AE47CA" w14:textId="74502EC3" w:rsidR="00426840" w:rsidRPr="0073563F" w:rsidRDefault="00920330" w:rsidP="006819F6">
      <w:pPr>
        <w:pStyle w:val="Odstavecseseznamem"/>
        <w:numPr>
          <w:ilvl w:val="0"/>
          <w:numId w:val="24"/>
        </w:numPr>
        <w:jc w:val="both"/>
        <w:rPr>
          <w:rFonts w:ascii="Calibri" w:hAnsi="Calibri" w:cs="Calibri"/>
        </w:rPr>
      </w:pPr>
      <w:r w:rsidRPr="0073563F">
        <w:rPr>
          <w:rFonts w:ascii="Calibri" w:hAnsi="Calibri" w:cs="Calibri"/>
        </w:rPr>
        <w:t xml:space="preserve">Významná změna je takový typ změny, který podstatným způsobem ovlivňuje konfiguraci VDS, zásadně mění vazby na ostatní infrastrukturu a podpůrné systémy, zásadně mění bezpečnostní opatření uplatňovaná v infrastruktuře VDS nebo nutnost změny je dána změnou legislativy, smluvních nebo regulatorních požadavků nebo změnu vyvolá bezpečnostní incident a jeho řešení anebo bylo </w:t>
      </w:r>
      <w:r w:rsidRPr="0073563F">
        <w:rPr>
          <w:rFonts w:ascii="Calibri" w:hAnsi="Calibri" w:cs="Calibri"/>
        </w:rPr>
        <w:lastRenderedPageBreak/>
        <w:t>identifikováno neakceptovatelné riziko, které se musí řídit. Významnou změnou je také změna, která má nebo může mít vliv na kybernetickou bezpečnost.</w:t>
      </w:r>
      <w:r w:rsidR="008549B7" w:rsidRPr="0073563F">
        <w:rPr>
          <w:rFonts w:ascii="Calibri" w:hAnsi="Calibri" w:cs="Calibri"/>
        </w:rPr>
        <w:t xml:space="preserve"> Ostatní změny nemají zásadní dopad na VDS.</w:t>
      </w:r>
    </w:p>
    <w:p w14:paraId="04EECA73" w14:textId="592ABB1B" w:rsidR="00920330" w:rsidRPr="0073563F" w:rsidRDefault="008549B7" w:rsidP="006819F6">
      <w:pPr>
        <w:pStyle w:val="Odstavecseseznamem"/>
        <w:numPr>
          <w:ilvl w:val="0"/>
          <w:numId w:val="24"/>
        </w:numPr>
        <w:jc w:val="both"/>
        <w:rPr>
          <w:rFonts w:ascii="Calibri" w:hAnsi="Calibri" w:cs="Calibri"/>
        </w:rPr>
      </w:pPr>
      <w:r w:rsidRPr="0073563F">
        <w:rPr>
          <w:rFonts w:ascii="Calibri" w:hAnsi="Calibri" w:cs="Calibri"/>
        </w:rPr>
        <w:t>Před nasazením významných změn musí být Pronajímatelem provedena analýza rizik. Ta může být provedena i za spolupráce s MSDC.</w:t>
      </w:r>
    </w:p>
    <w:p w14:paraId="07D4169C" w14:textId="6D10BB46" w:rsidR="008549B7" w:rsidRPr="0073563F" w:rsidRDefault="008549B7" w:rsidP="006819F6">
      <w:pPr>
        <w:pStyle w:val="Odstavecseseznamem"/>
        <w:numPr>
          <w:ilvl w:val="0"/>
          <w:numId w:val="24"/>
        </w:numPr>
        <w:jc w:val="both"/>
        <w:rPr>
          <w:rFonts w:ascii="Calibri" w:hAnsi="Calibri" w:cs="Calibri"/>
        </w:rPr>
      </w:pPr>
      <w:r w:rsidRPr="0073563F">
        <w:rPr>
          <w:rFonts w:ascii="Calibri" w:hAnsi="Calibri" w:cs="Calibri"/>
        </w:rPr>
        <w:t xml:space="preserve">Nasazení významných změn je ze strany Pronajímatelem předem plánováno, a tyto změny jsou před nasazením do produkčního prostředí VDS otestovány Pronajímatelem, pokud není dohodnut jiný postup. </w:t>
      </w:r>
      <w:r w:rsidR="00A6198D" w:rsidRPr="00A6198D">
        <w:rPr>
          <w:rFonts w:ascii="Calibri" w:hAnsi="Calibri" w:cs="Calibri"/>
        </w:rPr>
        <w:t>Plán realizované změny musí obsahovat také časový rámec jejího nasazení. Realizace významné změny, jejíž plán nebyl schválen MSDC, není přípustná.</w:t>
      </w:r>
      <w:r w:rsidR="00A6198D">
        <w:rPr>
          <w:rFonts w:ascii="Calibri" w:hAnsi="Calibri" w:cs="Calibri"/>
        </w:rPr>
        <w:t xml:space="preserve"> </w:t>
      </w:r>
      <w:r w:rsidRPr="0073563F">
        <w:rPr>
          <w:rFonts w:ascii="Calibri" w:hAnsi="Calibri" w:cs="Calibri"/>
        </w:rPr>
        <w:t>Výsledek testu podléhá schválení odpovědnými zaměstnanci MSDC.</w:t>
      </w:r>
    </w:p>
    <w:p w14:paraId="15D9D1FC" w14:textId="7EB68DE1" w:rsidR="008549B7" w:rsidRPr="0073563F" w:rsidRDefault="00175A18" w:rsidP="006819F6">
      <w:pPr>
        <w:pStyle w:val="Odstavecseseznamem"/>
        <w:numPr>
          <w:ilvl w:val="0"/>
          <w:numId w:val="24"/>
        </w:numPr>
        <w:jc w:val="both"/>
        <w:rPr>
          <w:rFonts w:ascii="Calibri" w:hAnsi="Calibri" w:cs="Calibri"/>
        </w:rPr>
      </w:pPr>
      <w:r w:rsidRPr="00175A18">
        <w:rPr>
          <w:rFonts w:ascii="Calibri" w:hAnsi="Calibri" w:cs="Calibri"/>
        </w:rPr>
        <w:t xml:space="preserve">Před nasazením každé významné změny jsou Pronajímatelem vypracovány nouzové postupy pro případ neúspěšných nasazení změn a nepředvídaných událostí po přerušení implementace změny, zejména plán na obnovení dotčeného prostředí do původního stavu před implementací změny po neúspěšné implementaci změny či výskytu nepředvídaných událostí během její </w:t>
      </w:r>
      <w:r w:rsidR="00166B3C" w:rsidRPr="00175A18">
        <w:rPr>
          <w:rFonts w:ascii="Calibri" w:hAnsi="Calibri" w:cs="Calibri"/>
        </w:rPr>
        <w:t>implementace.</w:t>
      </w:r>
    </w:p>
    <w:p w14:paraId="165718BF" w14:textId="66A89685" w:rsidR="008549B7" w:rsidRPr="0073563F" w:rsidRDefault="008549B7" w:rsidP="006819F6">
      <w:pPr>
        <w:pStyle w:val="Odstavecseseznamem"/>
        <w:numPr>
          <w:ilvl w:val="0"/>
          <w:numId w:val="24"/>
        </w:numPr>
        <w:jc w:val="both"/>
        <w:rPr>
          <w:rFonts w:ascii="Calibri" w:hAnsi="Calibri" w:cs="Calibri"/>
        </w:rPr>
      </w:pPr>
      <w:r w:rsidRPr="0073563F">
        <w:rPr>
          <w:rFonts w:ascii="Calibri" w:hAnsi="Calibri" w:cs="Calibri"/>
        </w:rPr>
        <w:t>V rámci plánování významné změny musí být Pronajímatelem posouzeny možné dopady těchto změn, včetně dopadů na bezpečnost informací na celou infrastrukturu VDS.</w:t>
      </w:r>
    </w:p>
    <w:p w14:paraId="50766ACE" w14:textId="7506D948" w:rsidR="008549B7" w:rsidRPr="0073563F" w:rsidRDefault="008549B7" w:rsidP="006819F6">
      <w:pPr>
        <w:pStyle w:val="Odstavecseseznamem"/>
        <w:numPr>
          <w:ilvl w:val="0"/>
          <w:numId w:val="24"/>
        </w:numPr>
        <w:jc w:val="both"/>
        <w:rPr>
          <w:rFonts w:ascii="Calibri" w:hAnsi="Calibri" w:cs="Calibri"/>
        </w:rPr>
      </w:pPr>
      <w:r w:rsidRPr="0073563F">
        <w:rPr>
          <w:rFonts w:ascii="Calibri" w:hAnsi="Calibri" w:cs="Calibri"/>
        </w:rPr>
        <w:t xml:space="preserve">Před realizaci významné změny jsou Pronajímatelem s touto změnou seznámeni </w:t>
      </w:r>
      <w:r w:rsidR="00D32FC6">
        <w:rPr>
          <w:rFonts w:ascii="Calibri" w:hAnsi="Calibri" w:cs="Calibri"/>
        </w:rPr>
        <w:t xml:space="preserve">s dostatečným předstihem </w:t>
      </w:r>
      <w:r w:rsidRPr="0073563F">
        <w:rPr>
          <w:rFonts w:ascii="Calibri" w:hAnsi="Calibri" w:cs="Calibri"/>
        </w:rPr>
        <w:t xml:space="preserve">všichni dotčení </w:t>
      </w:r>
      <w:r w:rsidR="00F17CC3" w:rsidRPr="0073563F">
        <w:rPr>
          <w:rFonts w:ascii="Calibri" w:hAnsi="Calibri" w:cs="Calibri"/>
        </w:rPr>
        <w:t>zaměstnanci MSDC.</w:t>
      </w:r>
    </w:p>
    <w:p w14:paraId="5BF39178" w14:textId="5BB6D4C5" w:rsidR="00426840" w:rsidRDefault="00F17CC3" w:rsidP="006819F6">
      <w:pPr>
        <w:pStyle w:val="Odstavecseseznamem"/>
        <w:numPr>
          <w:ilvl w:val="0"/>
          <w:numId w:val="24"/>
        </w:numPr>
        <w:jc w:val="both"/>
        <w:rPr>
          <w:rFonts w:ascii="Calibri" w:hAnsi="Calibri" w:cs="Calibri"/>
        </w:rPr>
      </w:pPr>
      <w:r w:rsidRPr="0073563F">
        <w:rPr>
          <w:rFonts w:ascii="Calibri" w:hAnsi="Calibri" w:cs="Calibri"/>
        </w:rPr>
        <w:t>O všech změnách musí být Pronajímatelem zpracován a uchován záznam, který obsahuje všechny důležité informace.</w:t>
      </w:r>
    </w:p>
    <w:p w14:paraId="17B29881" w14:textId="77777777" w:rsidR="00FC3C23" w:rsidRDefault="00FC3C23" w:rsidP="00FC3C23">
      <w:pPr>
        <w:pStyle w:val="pf0"/>
        <w:numPr>
          <w:ilvl w:val="0"/>
          <w:numId w:val="24"/>
        </w:numPr>
        <w:rPr>
          <w:rFonts w:ascii="Arial" w:hAnsi="Arial" w:cs="Arial"/>
          <w:sz w:val="20"/>
          <w:szCs w:val="20"/>
        </w:rPr>
      </w:pPr>
      <w:r>
        <w:rPr>
          <w:rStyle w:val="cf01"/>
          <w:rFonts w:eastAsiaTheme="majorEastAsia"/>
        </w:rPr>
        <w:t xml:space="preserve">Pokud v rámci schválené realizované změny dojde k očekávanému, plánovanému a schválenému výpadku poskytované služby, nezapočítává se doba tohoto výpadku do Dostupnosti služby v rámci SLA. </w:t>
      </w:r>
    </w:p>
    <w:p w14:paraId="651C71F4" w14:textId="77777777" w:rsidR="00683F30" w:rsidRPr="0073563F" w:rsidRDefault="00683F30" w:rsidP="006832DD">
      <w:pPr>
        <w:pStyle w:val="Odstavecseseznamem"/>
        <w:jc w:val="both"/>
        <w:rPr>
          <w:rFonts w:ascii="Calibri" w:hAnsi="Calibri" w:cs="Calibri"/>
        </w:rPr>
      </w:pPr>
    </w:p>
    <w:p w14:paraId="0422FF72" w14:textId="77777777" w:rsidR="00712CDE" w:rsidRPr="0073563F" w:rsidRDefault="00712CDE" w:rsidP="0073563F">
      <w:pPr>
        <w:pStyle w:val="Nadpis1"/>
        <w:pBdr>
          <w:top w:val="single" w:sz="4" w:space="1" w:color="auto"/>
          <w:left w:val="single" w:sz="4" w:space="4" w:color="auto"/>
          <w:bottom w:val="single" w:sz="4" w:space="1" w:color="auto"/>
          <w:right w:val="single" w:sz="4" w:space="4" w:color="auto"/>
        </w:pBdr>
        <w:rPr>
          <w:rFonts w:cs="Calibri"/>
        </w:rPr>
      </w:pPr>
      <w:r w:rsidRPr="0073563F">
        <w:rPr>
          <w:rFonts w:cs="Calibri"/>
        </w:rPr>
        <w:t>USTANOVENÍ INFORMOVAT O ZPŮSOBU ŘÍZENÍ RIZIK NA STRANĚ DODAVATELE A O ZBYTKOVÝCH RIZICÍCH SOUVISEJÍCÍCH S PLNĚNÍM SMLOUVY</w:t>
      </w:r>
    </w:p>
    <w:p w14:paraId="4A41D2E5" w14:textId="6F147408" w:rsidR="005F7181" w:rsidRPr="0073563F" w:rsidRDefault="005F7181" w:rsidP="006819F6">
      <w:pPr>
        <w:pStyle w:val="Odstavecseseznamem"/>
        <w:numPr>
          <w:ilvl w:val="0"/>
          <w:numId w:val="26"/>
        </w:numPr>
        <w:jc w:val="both"/>
        <w:rPr>
          <w:rFonts w:ascii="Calibri" w:hAnsi="Calibri" w:cs="Calibri"/>
        </w:rPr>
      </w:pPr>
      <w:r w:rsidRPr="0073563F">
        <w:rPr>
          <w:rFonts w:ascii="Calibri" w:hAnsi="Calibri" w:cs="Calibri"/>
        </w:rPr>
        <w:t>Pronajímatel se zavazuje informovat MSDC o způsobu, metodách a nástrojích, které používá k identifikaci, hodnocení, monitorování a řízení rizik souvisejících s veřejnou zakázkou.</w:t>
      </w:r>
    </w:p>
    <w:p w14:paraId="63542ED2" w14:textId="48FD72FF" w:rsidR="005F7181" w:rsidRPr="0073563F" w:rsidRDefault="005F7181" w:rsidP="006819F6">
      <w:pPr>
        <w:pStyle w:val="Odstavecseseznamem"/>
        <w:numPr>
          <w:ilvl w:val="0"/>
          <w:numId w:val="26"/>
        </w:numPr>
        <w:jc w:val="both"/>
        <w:rPr>
          <w:rFonts w:ascii="Calibri" w:hAnsi="Calibri" w:cs="Calibri"/>
        </w:rPr>
      </w:pPr>
      <w:r w:rsidRPr="0073563F">
        <w:rPr>
          <w:rFonts w:ascii="Calibri" w:hAnsi="Calibri" w:cs="Calibri"/>
        </w:rPr>
        <w:t>Pronajímatel poskytne Zákazníkovi pravidelné (alespoň 1x ročně nebo při významné změně) zprávy o zjištěných rizicích souvisejících s veřejnou zakázkou, jejich vážnosti a plánovaných opatřeních k jejich minimalizaci či eliminaci.</w:t>
      </w:r>
    </w:p>
    <w:p w14:paraId="0B2BCC62" w14:textId="29CD141D" w:rsidR="005F7181" w:rsidRPr="0073563F" w:rsidRDefault="005F7181" w:rsidP="006819F6">
      <w:pPr>
        <w:pStyle w:val="Odstavecseseznamem"/>
        <w:numPr>
          <w:ilvl w:val="0"/>
          <w:numId w:val="26"/>
        </w:numPr>
        <w:jc w:val="both"/>
        <w:rPr>
          <w:rFonts w:ascii="Calibri" w:hAnsi="Calibri" w:cs="Calibri"/>
        </w:rPr>
      </w:pPr>
      <w:r w:rsidRPr="0073563F">
        <w:rPr>
          <w:rFonts w:ascii="Calibri" w:hAnsi="Calibri" w:cs="Calibri"/>
        </w:rPr>
        <w:t>MSDC má oprávnění se vyjádřit k jakýmkoli plánovaným opatřením navrženým pro řízení rizik, která se týkají veřejné zakázky. Toto právo zahrnuje možnost vyjádřit se k účinnosti, proveditelnosti a adekvátnosti navržených opatření.</w:t>
      </w:r>
    </w:p>
    <w:p w14:paraId="1F7E815D" w14:textId="0464BF4A" w:rsidR="005F7181" w:rsidRPr="0073563F" w:rsidRDefault="005F7181" w:rsidP="006819F6">
      <w:pPr>
        <w:pStyle w:val="Odstavecseseznamem"/>
        <w:numPr>
          <w:ilvl w:val="0"/>
          <w:numId w:val="26"/>
        </w:numPr>
        <w:jc w:val="both"/>
        <w:rPr>
          <w:rFonts w:ascii="Calibri" w:hAnsi="Calibri" w:cs="Calibri"/>
        </w:rPr>
      </w:pPr>
      <w:r w:rsidRPr="0073563F">
        <w:rPr>
          <w:rFonts w:ascii="Calibri" w:hAnsi="Calibri" w:cs="Calibri"/>
        </w:rPr>
        <w:t>MSDC má oprávnění navrhnout alternativní opatření nebo modifikace k navrženým opatřením za účelem zlepšení efektivity a bezpečnosti poskytovaných služeb v rámci veřejné zakázky.</w:t>
      </w:r>
    </w:p>
    <w:p w14:paraId="4D17B3C7" w14:textId="04F2A5D4" w:rsidR="005F7181" w:rsidRPr="0073563F" w:rsidRDefault="005F7181" w:rsidP="006819F6">
      <w:pPr>
        <w:pStyle w:val="Odstavecseseznamem"/>
        <w:numPr>
          <w:ilvl w:val="0"/>
          <w:numId w:val="26"/>
        </w:numPr>
        <w:jc w:val="both"/>
        <w:rPr>
          <w:rFonts w:ascii="Calibri" w:hAnsi="Calibri" w:cs="Calibri"/>
        </w:rPr>
      </w:pPr>
      <w:r w:rsidRPr="0073563F">
        <w:rPr>
          <w:rFonts w:ascii="Calibri" w:hAnsi="Calibri" w:cs="Calibri"/>
        </w:rPr>
        <w:t>Jakákoli vyjádření k plánovaným opatřením, včetně návrhů na změny nebo doplnění, budou brána v úvahu a diskutována mezi oběma stranami s cílem dosáhnout dohody o konečných opatřeních, která budou v souladu se zákonnými požadavky a nejlepšími postupy v oblasti kybernetické bezpečnosti.</w:t>
      </w:r>
    </w:p>
    <w:p w14:paraId="33FBE900" w14:textId="1A24C4A6" w:rsidR="005F7181" w:rsidRPr="0073563F" w:rsidRDefault="005F7181" w:rsidP="006819F6">
      <w:pPr>
        <w:pStyle w:val="Odstavecseseznamem"/>
        <w:numPr>
          <w:ilvl w:val="0"/>
          <w:numId w:val="26"/>
        </w:numPr>
        <w:jc w:val="both"/>
        <w:rPr>
          <w:rFonts w:ascii="Calibri" w:hAnsi="Calibri" w:cs="Calibri"/>
        </w:rPr>
      </w:pPr>
      <w:r w:rsidRPr="0073563F">
        <w:rPr>
          <w:rFonts w:ascii="Calibri" w:hAnsi="Calibri" w:cs="Calibri"/>
        </w:rPr>
        <w:t>Ustanovení zmiňovaná výše neomezuj</w:t>
      </w:r>
      <w:r w:rsidR="00426840" w:rsidRPr="0073563F">
        <w:rPr>
          <w:rFonts w:ascii="Calibri" w:hAnsi="Calibri" w:cs="Calibri"/>
        </w:rPr>
        <w:t>í</w:t>
      </w:r>
      <w:r w:rsidRPr="0073563F">
        <w:rPr>
          <w:rFonts w:ascii="Calibri" w:hAnsi="Calibri" w:cs="Calibri"/>
        </w:rPr>
        <w:t xml:space="preserve"> právo každé strany</w:t>
      </w:r>
      <w:r w:rsidR="00426840" w:rsidRPr="0073563F">
        <w:rPr>
          <w:rFonts w:ascii="Calibri" w:hAnsi="Calibri" w:cs="Calibri"/>
        </w:rPr>
        <w:t xml:space="preserve"> </w:t>
      </w:r>
      <w:r w:rsidRPr="0073563F">
        <w:rPr>
          <w:rFonts w:ascii="Calibri" w:hAnsi="Calibri" w:cs="Calibri"/>
        </w:rPr>
        <w:t>vyžadovat vhodné informace, vysvětlení a důkazy týkající se navržených opatření pro řízení rizik.</w:t>
      </w:r>
    </w:p>
    <w:p w14:paraId="1C638106" w14:textId="1EAA8C02" w:rsidR="0073563F" w:rsidRPr="0073563F" w:rsidRDefault="00426840" w:rsidP="006819F6">
      <w:pPr>
        <w:pStyle w:val="Odstavecseseznamem"/>
        <w:numPr>
          <w:ilvl w:val="0"/>
          <w:numId w:val="26"/>
        </w:numPr>
        <w:jc w:val="both"/>
        <w:rPr>
          <w:rFonts w:ascii="Calibri" w:hAnsi="Calibri" w:cs="Calibri"/>
        </w:rPr>
      </w:pPr>
      <w:r w:rsidRPr="0073563F">
        <w:rPr>
          <w:rFonts w:ascii="Calibri" w:hAnsi="Calibri" w:cs="Calibri"/>
        </w:rPr>
        <w:t>Pronajímatel je povinen informovat MSDC o zbytkových rizicích, která zůstávají i po provedení opatření k minimalizaci či eliminaci neakceptovatelných, či takových rizicích, které by mohly zvlášť závažně ohrozit veřejnou zakázku.</w:t>
      </w:r>
    </w:p>
    <w:p w14:paraId="68C9D2BC" w14:textId="3BA23949" w:rsidR="00F17CC3" w:rsidRPr="006819F6" w:rsidRDefault="00A60D26" w:rsidP="00F17CC3">
      <w:pPr>
        <w:pStyle w:val="Nadpis1"/>
        <w:pBdr>
          <w:top w:val="single" w:sz="4" w:space="1" w:color="auto"/>
          <w:left w:val="single" w:sz="4" w:space="4" w:color="auto"/>
          <w:bottom w:val="single" w:sz="4" w:space="1" w:color="auto"/>
          <w:right w:val="single" w:sz="4" w:space="4" w:color="auto"/>
        </w:pBdr>
        <w:rPr>
          <w:rFonts w:cs="Calibri"/>
        </w:rPr>
      </w:pPr>
      <w:r w:rsidRPr="0073563F">
        <w:rPr>
          <w:rFonts w:cs="Calibri"/>
        </w:rPr>
        <w:lastRenderedPageBreak/>
        <w:t>PRAVIDLA PRO LIKVIDACI DAT</w:t>
      </w:r>
    </w:p>
    <w:p w14:paraId="077F1C4F" w14:textId="3F57AEE6" w:rsidR="00F17CC3" w:rsidRPr="0073563F" w:rsidRDefault="00F17CC3" w:rsidP="006819F6">
      <w:pPr>
        <w:pStyle w:val="Odstavecseseznamem"/>
        <w:numPr>
          <w:ilvl w:val="0"/>
          <w:numId w:val="25"/>
        </w:numPr>
        <w:jc w:val="both"/>
        <w:rPr>
          <w:rFonts w:ascii="Calibri" w:hAnsi="Calibri" w:cs="Calibri"/>
        </w:rPr>
      </w:pPr>
      <w:r w:rsidRPr="0073563F">
        <w:rPr>
          <w:rFonts w:ascii="Calibri" w:hAnsi="Calibri" w:cs="Calibri"/>
        </w:rPr>
        <w:t>Pronajímatel je povinen zlikvidovat veškeré neveřejné či chráněné informace, které se dozvěděl v průběhu plnění této smlouvy poté, co bude plnění z této smlouvy ukončeno, ať už splněním anebo jiným způsobem zániku této smlouvy.</w:t>
      </w:r>
    </w:p>
    <w:p w14:paraId="48193C76" w14:textId="1496BC62" w:rsidR="00F17CC3" w:rsidRPr="0073563F" w:rsidRDefault="00F17CC3" w:rsidP="006819F6">
      <w:pPr>
        <w:pStyle w:val="Odstavecseseznamem"/>
        <w:numPr>
          <w:ilvl w:val="0"/>
          <w:numId w:val="25"/>
        </w:numPr>
        <w:jc w:val="both"/>
        <w:rPr>
          <w:rFonts w:ascii="Calibri" w:hAnsi="Calibri" w:cs="Calibri"/>
        </w:rPr>
      </w:pPr>
      <w:r w:rsidRPr="0073563F">
        <w:rPr>
          <w:rFonts w:ascii="Calibri" w:hAnsi="Calibri" w:cs="Calibri"/>
        </w:rPr>
        <w:t>Pokud není stanoveno jinak, je Pronajímatel povinen likvidovat informace v souladu s přílohou č. 5 vyhláška o bezpečnostních opatřeních, kybernetických bezpečnostních incidentech, reaktivních opatřeních, náležitostech podání v oblasti kybernetické bezpečnosti a likvidaci dat (vyhláška o kybernetické bezpečnosti).</w:t>
      </w:r>
    </w:p>
    <w:p w14:paraId="74ED9DFF" w14:textId="28BB2F38" w:rsidR="00CA29AA" w:rsidRPr="0073563F" w:rsidRDefault="00F17CC3">
      <w:pPr>
        <w:rPr>
          <w:rFonts w:ascii="Calibri" w:hAnsi="Calibri" w:cs="Calibri"/>
        </w:rPr>
      </w:pPr>
      <w:r w:rsidRPr="0073563F">
        <w:rPr>
          <w:rFonts w:ascii="Calibri" w:hAnsi="Calibri" w:cs="Calibri"/>
        </w:rPr>
        <w:t>Pokud není určena kvalifikace informace, bude použit způsob likvidace pro důležitost aktiva/informace kritickou.</w:t>
      </w:r>
    </w:p>
    <w:sectPr w:rsidR="00CA29AA" w:rsidRPr="0073563F" w:rsidSect="00891441">
      <w:headerReference w:type="even" r:id="rId11"/>
      <w:headerReference w:type="default" r:id="rId12"/>
      <w:headerReference w:type="firs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23099" w14:textId="77777777" w:rsidR="003852F2" w:rsidRDefault="003852F2" w:rsidP="00935E67">
      <w:pPr>
        <w:spacing w:after="0" w:line="240" w:lineRule="auto"/>
      </w:pPr>
      <w:r>
        <w:separator/>
      </w:r>
    </w:p>
  </w:endnote>
  <w:endnote w:type="continuationSeparator" w:id="0">
    <w:p w14:paraId="73B2A61B" w14:textId="77777777" w:rsidR="003852F2" w:rsidRDefault="003852F2" w:rsidP="00935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53FBA" w14:textId="77777777" w:rsidR="003852F2" w:rsidRDefault="003852F2" w:rsidP="00935E67">
      <w:pPr>
        <w:spacing w:after="0" w:line="240" w:lineRule="auto"/>
      </w:pPr>
      <w:r>
        <w:separator/>
      </w:r>
    </w:p>
  </w:footnote>
  <w:footnote w:type="continuationSeparator" w:id="0">
    <w:p w14:paraId="7581105F" w14:textId="77777777" w:rsidR="003852F2" w:rsidRDefault="003852F2" w:rsidP="00935E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8B29D" w14:textId="74AA8043" w:rsidR="00935E67" w:rsidRDefault="00000000">
    <w:pPr>
      <w:pStyle w:val="Zhlav"/>
    </w:pPr>
    <w:r>
      <w:rPr>
        <w:noProof/>
      </w:rPr>
      <w:pict w14:anchorId="203F2E0F">
        <v:shapetype id="_x0000_t202" coordsize="21600,21600" o:spt="202" path="m,l,21600r21600,l21600,xe">
          <v:stroke joinstyle="miter"/>
          <v:path gradientshapeok="t" o:connecttype="rect"/>
        </v:shapetype>
        <v:shape id="Textové pole 2" o:spid="_x0000_s1027" type="#_x0000_t202" alt="Klasifikace informací: Veřejné" style="position:absolute;margin-left:-276.25pt;margin-top:0;width:34.95pt;height:34.9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next-textbox:#Textové pole 2;mso-fit-shape-to-text:t" inset="0,15pt,20pt,0">
            <w:txbxContent>
              <w:p w14:paraId="473414B3" w14:textId="340AEE9F" w:rsidR="00935E67" w:rsidRPr="00935E67" w:rsidRDefault="00935E67" w:rsidP="00935E67">
                <w:pPr>
                  <w:spacing w:after="0"/>
                  <w:rPr>
                    <w:rFonts w:ascii="Calibri" w:eastAsia="Calibri" w:hAnsi="Calibri" w:cs="Calibri"/>
                    <w:noProof/>
                    <w:color w:val="000000"/>
                    <w:szCs w:val="20"/>
                  </w:rPr>
                </w:pPr>
                <w:r w:rsidRPr="00935E67">
                  <w:rPr>
                    <w:rFonts w:ascii="Calibri" w:eastAsia="Calibri" w:hAnsi="Calibri" w:cs="Calibri"/>
                    <w:noProof/>
                    <w:color w:val="000000"/>
                    <w:szCs w:val="20"/>
                  </w:rPr>
                  <w:t>Klasifikace informací: Veřejné</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57F3E" w14:textId="3393155D" w:rsidR="00935E67" w:rsidRDefault="00000000">
    <w:pPr>
      <w:pStyle w:val="Zhlav"/>
    </w:pPr>
    <w:r>
      <w:rPr>
        <w:noProof/>
      </w:rPr>
      <w:pict w14:anchorId="7D935F46">
        <v:shapetype id="_x0000_t202" coordsize="21600,21600" o:spt="202" path="m,l,21600r21600,l21600,xe">
          <v:stroke joinstyle="miter"/>
          <v:path gradientshapeok="t" o:connecttype="rect"/>
        </v:shapetype>
        <v:shape id="Textové pole 3" o:spid="_x0000_s1026" type="#_x0000_t202" alt="Klasifikace informací: Veřejné" style="position:absolute;margin-left:-27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next-textbox:#Textové pole 3;mso-fit-shape-to-text:t" inset="0,15pt,20pt,0">
            <w:txbxContent>
              <w:p w14:paraId="3BFC050E" w14:textId="4E5AAEDF" w:rsidR="00935E67" w:rsidRPr="00935E67" w:rsidRDefault="00935E67" w:rsidP="00935E67">
                <w:pPr>
                  <w:spacing w:after="0"/>
                  <w:rPr>
                    <w:rFonts w:ascii="Calibri" w:eastAsia="Calibri" w:hAnsi="Calibri" w:cs="Calibri"/>
                    <w:noProof/>
                    <w:color w:val="000000"/>
                    <w:szCs w:val="20"/>
                  </w:rPr>
                </w:pPr>
                <w:r w:rsidRPr="00935E67">
                  <w:rPr>
                    <w:rFonts w:ascii="Calibri" w:eastAsia="Calibri" w:hAnsi="Calibri" w:cs="Calibri"/>
                    <w:noProof/>
                    <w:color w:val="000000"/>
                    <w:szCs w:val="20"/>
                  </w:rPr>
                  <w:t>Klasifikace informací: Veřejné</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A0F16" w14:textId="1F523B24" w:rsidR="00935E67" w:rsidRDefault="00000000">
    <w:pPr>
      <w:pStyle w:val="Zhlav"/>
    </w:pPr>
    <w:r>
      <w:rPr>
        <w:noProof/>
      </w:rPr>
      <w:pict w14:anchorId="20E83142">
        <v:shapetype id="_x0000_t202" coordsize="21600,21600" o:spt="202" path="m,l,21600r21600,l21600,xe">
          <v:stroke joinstyle="miter"/>
          <v:path gradientshapeok="t" o:connecttype="rect"/>
        </v:shapetype>
        <v:shape id="Textové pole 1" o:spid="_x0000_s1025" type="#_x0000_t202" alt="Klasifikace informací: Veřejné" style="position:absolute;margin-left:-27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next-textbox:#Textové pole 1;mso-fit-shape-to-text:t" inset="0,15pt,20pt,0">
            <w:txbxContent>
              <w:p w14:paraId="7C51ED2E" w14:textId="6E04F645" w:rsidR="00935E67" w:rsidRPr="00935E67" w:rsidRDefault="00935E67" w:rsidP="00935E67">
                <w:pPr>
                  <w:spacing w:after="0"/>
                  <w:rPr>
                    <w:rFonts w:ascii="Calibri" w:eastAsia="Calibri" w:hAnsi="Calibri" w:cs="Calibri"/>
                    <w:noProof/>
                    <w:color w:val="000000"/>
                    <w:szCs w:val="20"/>
                  </w:rPr>
                </w:pPr>
                <w:r w:rsidRPr="00935E67">
                  <w:rPr>
                    <w:rFonts w:ascii="Calibri" w:eastAsia="Calibri" w:hAnsi="Calibri" w:cs="Calibri"/>
                    <w:noProof/>
                    <w:color w:val="000000"/>
                    <w:szCs w:val="20"/>
                  </w:rPr>
                  <w:t>Klasifikace informací: Veřejné</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E50D8"/>
    <w:multiLevelType w:val="hybridMultilevel"/>
    <w:tmpl w:val="84701E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506B7C"/>
    <w:multiLevelType w:val="hybridMultilevel"/>
    <w:tmpl w:val="7924C0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2F43E8"/>
    <w:multiLevelType w:val="hybridMultilevel"/>
    <w:tmpl w:val="9D508F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AB4C98"/>
    <w:multiLevelType w:val="hybridMultilevel"/>
    <w:tmpl w:val="40685B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AD50ADE"/>
    <w:multiLevelType w:val="hybridMultilevel"/>
    <w:tmpl w:val="40685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C33E6D"/>
    <w:multiLevelType w:val="hybridMultilevel"/>
    <w:tmpl w:val="4BF2E71C"/>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4B20E8"/>
    <w:multiLevelType w:val="hybridMultilevel"/>
    <w:tmpl w:val="41DE40E6"/>
    <w:lvl w:ilvl="0" w:tplc="EB94545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682C0A"/>
    <w:multiLevelType w:val="multilevel"/>
    <w:tmpl w:val="A29E338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43C4C59"/>
    <w:multiLevelType w:val="hybridMultilevel"/>
    <w:tmpl w:val="9D508F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6D739D5"/>
    <w:multiLevelType w:val="hybridMultilevel"/>
    <w:tmpl w:val="9D508F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DF4E32"/>
    <w:multiLevelType w:val="hybridMultilevel"/>
    <w:tmpl w:val="14C299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C337AC"/>
    <w:multiLevelType w:val="hybridMultilevel"/>
    <w:tmpl w:val="40685B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2C7734"/>
    <w:multiLevelType w:val="hybridMultilevel"/>
    <w:tmpl w:val="9D925F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967185"/>
    <w:multiLevelType w:val="hybridMultilevel"/>
    <w:tmpl w:val="D9703784"/>
    <w:lvl w:ilvl="0" w:tplc="0405000F">
      <w:start w:val="1"/>
      <w:numFmt w:val="decimal"/>
      <w:lvlText w:val="%1."/>
      <w:lvlJc w:val="left"/>
      <w:pPr>
        <w:ind w:left="720" w:hanging="360"/>
      </w:pPr>
    </w:lvl>
    <w:lvl w:ilvl="1" w:tplc="9D6CD35E">
      <w:start w:val="2"/>
      <w:numFmt w:val="bullet"/>
      <w:lvlText w:val=""/>
      <w:lvlJc w:val="left"/>
      <w:pPr>
        <w:ind w:left="1440" w:hanging="360"/>
      </w:pPr>
      <w:rPr>
        <w:rFonts w:ascii="Symbol" w:eastAsiaTheme="majorEastAsia" w:hAnsi="Symbol" w:cs="Tahoma"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B53836"/>
    <w:multiLevelType w:val="hybridMultilevel"/>
    <w:tmpl w:val="40685B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3C1F22"/>
    <w:multiLevelType w:val="hybridMultilevel"/>
    <w:tmpl w:val="82509E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DF02980"/>
    <w:multiLevelType w:val="hybridMultilevel"/>
    <w:tmpl w:val="F17E0A8C"/>
    <w:lvl w:ilvl="0" w:tplc="0405000F">
      <w:start w:val="1"/>
      <w:numFmt w:val="decimal"/>
      <w:lvlText w:val="%1."/>
      <w:lvlJc w:val="left"/>
      <w:pPr>
        <w:ind w:left="720" w:hanging="360"/>
      </w:pPr>
    </w:lvl>
    <w:lvl w:ilvl="1" w:tplc="DD68A082">
      <w:start w:val="2"/>
      <w:numFmt w:val="bullet"/>
      <w:lvlText w:val=""/>
      <w:lvlJc w:val="left"/>
      <w:pPr>
        <w:ind w:left="1440" w:hanging="360"/>
      </w:pPr>
      <w:rPr>
        <w:rFonts w:ascii="Symbol" w:eastAsiaTheme="minorHAnsi" w:hAnsi="Symbol" w:cstheme="minorBid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B04672"/>
    <w:multiLevelType w:val="multilevel"/>
    <w:tmpl w:val="2660A4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57065ACF"/>
    <w:multiLevelType w:val="hybridMultilevel"/>
    <w:tmpl w:val="0F0EFD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1D362E"/>
    <w:multiLevelType w:val="hybridMultilevel"/>
    <w:tmpl w:val="06729D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B6927AE"/>
    <w:multiLevelType w:val="hybridMultilevel"/>
    <w:tmpl w:val="FE4442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9872EEE"/>
    <w:multiLevelType w:val="hybridMultilevel"/>
    <w:tmpl w:val="46BE4C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0E96CD6"/>
    <w:multiLevelType w:val="hybridMultilevel"/>
    <w:tmpl w:val="9C4815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58D6B21"/>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15:restartNumberingAfterBreak="0">
    <w:nsid w:val="7BD91316"/>
    <w:multiLevelType w:val="hybridMultilevel"/>
    <w:tmpl w:val="B8BE011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D8A6AEB"/>
    <w:multiLevelType w:val="hybridMultilevel"/>
    <w:tmpl w:val="D632E4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32595979">
    <w:abstractNumId w:val="10"/>
  </w:num>
  <w:num w:numId="2" w16cid:durableId="839197212">
    <w:abstractNumId w:val="19"/>
  </w:num>
  <w:num w:numId="3" w16cid:durableId="842551538">
    <w:abstractNumId w:val="6"/>
  </w:num>
  <w:num w:numId="4" w16cid:durableId="609777562">
    <w:abstractNumId w:val="5"/>
  </w:num>
  <w:num w:numId="5" w16cid:durableId="1372653302">
    <w:abstractNumId w:val="12"/>
  </w:num>
  <w:num w:numId="6" w16cid:durableId="934636362">
    <w:abstractNumId w:val="18"/>
  </w:num>
  <w:num w:numId="7" w16cid:durableId="643051277">
    <w:abstractNumId w:val="22"/>
  </w:num>
  <w:num w:numId="8" w16cid:durableId="363098815">
    <w:abstractNumId w:val="21"/>
  </w:num>
  <w:num w:numId="9" w16cid:durableId="1266769320">
    <w:abstractNumId w:val="13"/>
  </w:num>
  <w:num w:numId="10" w16cid:durableId="1957173248">
    <w:abstractNumId w:val="23"/>
  </w:num>
  <w:num w:numId="11" w16cid:durableId="1397319720">
    <w:abstractNumId w:val="17"/>
  </w:num>
  <w:num w:numId="12" w16cid:durableId="574241091">
    <w:abstractNumId w:val="1"/>
  </w:num>
  <w:num w:numId="13" w16cid:durableId="1287588362">
    <w:abstractNumId w:val="20"/>
  </w:num>
  <w:num w:numId="14" w16cid:durableId="1238445017">
    <w:abstractNumId w:val="7"/>
  </w:num>
  <w:num w:numId="15" w16cid:durableId="820077380">
    <w:abstractNumId w:val="0"/>
  </w:num>
  <w:num w:numId="16" w16cid:durableId="2053505213">
    <w:abstractNumId w:val="2"/>
  </w:num>
  <w:num w:numId="17" w16cid:durableId="988173345">
    <w:abstractNumId w:val="16"/>
  </w:num>
  <w:num w:numId="18" w16cid:durableId="109277968">
    <w:abstractNumId w:val="24"/>
  </w:num>
  <w:num w:numId="19" w16cid:durableId="400443199">
    <w:abstractNumId w:val="25"/>
  </w:num>
  <w:num w:numId="20" w16cid:durableId="673995895">
    <w:abstractNumId w:val="4"/>
  </w:num>
  <w:num w:numId="21" w16cid:durableId="1876649094">
    <w:abstractNumId w:val="15"/>
  </w:num>
  <w:num w:numId="22" w16cid:durableId="1923906574">
    <w:abstractNumId w:val="9"/>
  </w:num>
  <w:num w:numId="23" w16cid:durableId="714547040">
    <w:abstractNumId w:val="8"/>
  </w:num>
  <w:num w:numId="24" w16cid:durableId="702636392">
    <w:abstractNumId w:val="14"/>
  </w:num>
  <w:num w:numId="25" w16cid:durableId="2146308840">
    <w:abstractNumId w:val="11"/>
  </w:num>
  <w:num w:numId="26" w16cid:durableId="4505884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D27316"/>
    <w:rsid w:val="0006336F"/>
    <w:rsid w:val="0007424A"/>
    <w:rsid w:val="000925E1"/>
    <w:rsid w:val="000E5300"/>
    <w:rsid w:val="00115AA6"/>
    <w:rsid w:val="00132D2D"/>
    <w:rsid w:val="001333E6"/>
    <w:rsid w:val="00166B3C"/>
    <w:rsid w:val="00175A18"/>
    <w:rsid w:val="00182EBC"/>
    <w:rsid w:val="001B65A8"/>
    <w:rsid w:val="001F0113"/>
    <w:rsid w:val="00233C32"/>
    <w:rsid w:val="00243F06"/>
    <w:rsid w:val="002A7C03"/>
    <w:rsid w:val="002B41D3"/>
    <w:rsid w:val="002C5D80"/>
    <w:rsid w:val="002C779E"/>
    <w:rsid w:val="002D794C"/>
    <w:rsid w:val="00323654"/>
    <w:rsid w:val="003559D4"/>
    <w:rsid w:val="003852F2"/>
    <w:rsid w:val="003B6E98"/>
    <w:rsid w:val="003E4033"/>
    <w:rsid w:val="004145C0"/>
    <w:rsid w:val="0041745D"/>
    <w:rsid w:val="00420890"/>
    <w:rsid w:val="00424853"/>
    <w:rsid w:val="00426840"/>
    <w:rsid w:val="004802AE"/>
    <w:rsid w:val="00530591"/>
    <w:rsid w:val="005A5696"/>
    <w:rsid w:val="005B31B8"/>
    <w:rsid w:val="005C1FBE"/>
    <w:rsid w:val="005C4712"/>
    <w:rsid w:val="005D4842"/>
    <w:rsid w:val="005F7181"/>
    <w:rsid w:val="00630EA4"/>
    <w:rsid w:val="006819F6"/>
    <w:rsid w:val="006832DD"/>
    <w:rsid w:val="00683F30"/>
    <w:rsid w:val="006D308C"/>
    <w:rsid w:val="00706BC6"/>
    <w:rsid w:val="007078CE"/>
    <w:rsid w:val="007116C6"/>
    <w:rsid w:val="00712CDE"/>
    <w:rsid w:val="0073563F"/>
    <w:rsid w:val="00753C83"/>
    <w:rsid w:val="007E63A5"/>
    <w:rsid w:val="007E77A8"/>
    <w:rsid w:val="007E7955"/>
    <w:rsid w:val="0080206F"/>
    <w:rsid w:val="008549B7"/>
    <w:rsid w:val="00891441"/>
    <w:rsid w:val="008D2B24"/>
    <w:rsid w:val="009029AE"/>
    <w:rsid w:val="00920330"/>
    <w:rsid w:val="009233EF"/>
    <w:rsid w:val="00927E55"/>
    <w:rsid w:val="00935E67"/>
    <w:rsid w:val="009479D9"/>
    <w:rsid w:val="009B22E6"/>
    <w:rsid w:val="009D37A1"/>
    <w:rsid w:val="00A50146"/>
    <w:rsid w:val="00A60D26"/>
    <w:rsid w:val="00A6198D"/>
    <w:rsid w:val="00A64100"/>
    <w:rsid w:val="00A9576E"/>
    <w:rsid w:val="00AB019F"/>
    <w:rsid w:val="00AE2804"/>
    <w:rsid w:val="00B30D0E"/>
    <w:rsid w:val="00B653F7"/>
    <w:rsid w:val="00BC1257"/>
    <w:rsid w:val="00BC2E17"/>
    <w:rsid w:val="00C43C03"/>
    <w:rsid w:val="00C80823"/>
    <w:rsid w:val="00CA29AA"/>
    <w:rsid w:val="00D27316"/>
    <w:rsid w:val="00D32FC6"/>
    <w:rsid w:val="00D93398"/>
    <w:rsid w:val="00DB2E33"/>
    <w:rsid w:val="00DB4361"/>
    <w:rsid w:val="00DE07E9"/>
    <w:rsid w:val="00DE36C0"/>
    <w:rsid w:val="00E237F2"/>
    <w:rsid w:val="00E246D3"/>
    <w:rsid w:val="00E4055F"/>
    <w:rsid w:val="00E47726"/>
    <w:rsid w:val="00E50821"/>
    <w:rsid w:val="00EA071B"/>
    <w:rsid w:val="00EF3931"/>
    <w:rsid w:val="00EF51D1"/>
    <w:rsid w:val="00F17CC3"/>
    <w:rsid w:val="00F2747A"/>
    <w:rsid w:val="00F57F10"/>
    <w:rsid w:val="00F607A5"/>
    <w:rsid w:val="00F744AA"/>
    <w:rsid w:val="00F921E6"/>
    <w:rsid w:val="00FB5234"/>
    <w:rsid w:val="00FC2B5C"/>
    <w:rsid w:val="00FC3C23"/>
    <w:rsid w:val="00FD124C"/>
    <w:rsid w:val="00FF30E9"/>
    <w:rsid w:val="00FF7ABC"/>
    <w:rsid w:val="098E43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3BAB4"/>
  <w15:docId w15:val="{3152BB0F-FC5A-49AE-B0AE-5CD3743D4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4100"/>
    <w:rPr>
      <w:rFonts w:ascii="Tahoma" w:hAnsi="Tahoma"/>
      <w:sz w:val="20"/>
    </w:rPr>
  </w:style>
  <w:style w:type="paragraph" w:styleId="Nadpis1">
    <w:name w:val="heading 1"/>
    <w:basedOn w:val="Normln"/>
    <w:next w:val="Normln"/>
    <w:link w:val="Nadpis1Char"/>
    <w:uiPriority w:val="9"/>
    <w:qFormat/>
    <w:rsid w:val="00A64100"/>
    <w:pPr>
      <w:keepNext/>
      <w:keepLines/>
      <w:numPr>
        <w:numId w:val="10"/>
      </w:numPr>
      <w:spacing w:before="360" w:after="80"/>
      <w:outlineLvl w:val="0"/>
    </w:pPr>
    <w:rPr>
      <w:rFonts w:ascii="Calibri" w:eastAsiaTheme="majorEastAsia" w:hAnsi="Calibri" w:cstheme="majorBidi"/>
      <w:b/>
      <w:szCs w:val="40"/>
    </w:rPr>
  </w:style>
  <w:style w:type="paragraph" w:styleId="Nadpis2">
    <w:name w:val="heading 2"/>
    <w:basedOn w:val="Normln"/>
    <w:next w:val="Normln"/>
    <w:link w:val="Nadpis2Char"/>
    <w:uiPriority w:val="9"/>
    <w:unhideWhenUsed/>
    <w:qFormat/>
    <w:rsid w:val="007116C6"/>
    <w:pPr>
      <w:keepNext/>
      <w:keepLines/>
      <w:numPr>
        <w:ilvl w:val="1"/>
        <w:numId w:val="10"/>
      </w:numPr>
      <w:spacing w:before="160" w:after="80"/>
      <w:outlineLvl w:val="1"/>
    </w:pPr>
    <w:rPr>
      <w:rFonts w:ascii="Calibri" w:eastAsiaTheme="majorEastAsia" w:hAnsi="Calibri" w:cstheme="majorBidi"/>
      <w:b/>
      <w:i/>
      <w:szCs w:val="32"/>
    </w:rPr>
  </w:style>
  <w:style w:type="paragraph" w:styleId="Nadpis3">
    <w:name w:val="heading 3"/>
    <w:basedOn w:val="Normln"/>
    <w:next w:val="Normln"/>
    <w:link w:val="Nadpis3Char"/>
    <w:uiPriority w:val="9"/>
    <w:semiHidden/>
    <w:unhideWhenUsed/>
    <w:qFormat/>
    <w:rsid w:val="00D27316"/>
    <w:pPr>
      <w:keepNext/>
      <w:keepLines/>
      <w:numPr>
        <w:ilvl w:val="2"/>
        <w:numId w:val="10"/>
      </w:numPr>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D27316"/>
    <w:pPr>
      <w:keepNext/>
      <w:keepLines/>
      <w:numPr>
        <w:ilvl w:val="3"/>
        <w:numId w:val="10"/>
      </w:numPr>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D27316"/>
    <w:pPr>
      <w:keepNext/>
      <w:keepLines/>
      <w:numPr>
        <w:ilvl w:val="4"/>
        <w:numId w:val="10"/>
      </w:numPr>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D27316"/>
    <w:pPr>
      <w:keepNext/>
      <w:keepLines/>
      <w:numPr>
        <w:ilvl w:val="5"/>
        <w:numId w:val="10"/>
      </w:numPr>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D27316"/>
    <w:pPr>
      <w:keepNext/>
      <w:keepLines/>
      <w:numPr>
        <w:ilvl w:val="6"/>
        <w:numId w:val="10"/>
      </w:numPr>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D27316"/>
    <w:pPr>
      <w:keepNext/>
      <w:keepLines/>
      <w:numPr>
        <w:ilvl w:val="7"/>
        <w:numId w:val="10"/>
      </w:numPr>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D27316"/>
    <w:pPr>
      <w:keepNext/>
      <w:keepLines/>
      <w:numPr>
        <w:ilvl w:val="8"/>
        <w:numId w:val="10"/>
      </w:numPr>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64100"/>
    <w:rPr>
      <w:rFonts w:ascii="Calibri" w:eastAsiaTheme="majorEastAsia" w:hAnsi="Calibri" w:cstheme="majorBidi"/>
      <w:b/>
      <w:szCs w:val="40"/>
    </w:rPr>
  </w:style>
  <w:style w:type="character" w:customStyle="1" w:styleId="Nadpis2Char">
    <w:name w:val="Nadpis 2 Char"/>
    <w:basedOn w:val="Standardnpsmoodstavce"/>
    <w:link w:val="Nadpis2"/>
    <w:uiPriority w:val="9"/>
    <w:rsid w:val="007116C6"/>
    <w:rPr>
      <w:rFonts w:ascii="Calibri" w:eastAsiaTheme="majorEastAsia" w:hAnsi="Calibri" w:cstheme="majorBidi"/>
      <w:b/>
      <w:i/>
      <w:sz w:val="20"/>
      <w:szCs w:val="32"/>
    </w:rPr>
  </w:style>
  <w:style w:type="character" w:customStyle="1" w:styleId="Nadpis3Char">
    <w:name w:val="Nadpis 3 Char"/>
    <w:basedOn w:val="Standardnpsmoodstavce"/>
    <w:link w:val="Nadpis3"/>
    <w:uiPriority w:val="9"/>
    <w:semiHidden/>
    <w:rsid w:val="00D27316"/>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D27316"/>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D27316"/>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D27316"/>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D27316"/>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D27316"/>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D27316"/>
    <w:rPr>
      <w:rFonts w:eastAsiaTheme="majorEastAsia" w:cstheme="majorBidi"/>
      <w:color w:val="272727" w:themeColor="text1" w:themeTint="D8"/>
    </w:rPr>
  </w:style>
  <w:style w:type="paragraph" w:styleId="Nzev">
    <w:name w:val="Title"/>
    <w:basedOn w:val="Normln"/>
    <w:next w:val="Normln"/>
    <w:link w:val="NzevChar"/>
    <w:uiPriority w:val="10"/>
    <w:qFormat/>
    <w:rsid w:val="00D273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2731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27316"/>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D27316"/>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D27316"/>
    <w:pPr>
      <w:spacing w:before="160"/>
      <w:jc w:val="center"/>
    </w:pPr>
    <w:rPr>
      <w:i/>
      <w:iCs/>
      <w:color w:val="404040" w:themeColor="text1" w:themeTint="BF"/>
    </w:rPr>
  </w:style>
  <w:style w:type="character" w:customStyle="1" w:styleId="CittChar">
    <w:name w:val="Citát Char"/>
    <w:basedOn w:val="Standardnpsmoodstavce"/>
    <w:link w:val="Citt"/>
    <w:uiPriority w:val="29"/>
    <w:rsid w:val="00D27316"/>
    <w:rPr>
      <w:i/>
      <w:iCs/>
      <w:color w:val="404040" w:themeColor="text1" w:themeTint="BF"/>
    </w:rPr>
  </w:style>
  <w:style w:type="paragraph" w:styleId="Odstavecseseznamem">
    <w:name w:val="List Paragraph"/>
    <w:basedOn w:val="Normln"/>
    <w:uiPriority w:val="34"/>
    <w:qFormat/>
    <w:rsid w:val="00A60D26"/>
    <w:pPr>
      <w:spacing w:before="120"/>
      <w:ind w:left="720"/>
    </w:pPr>
  </w:style>
  <w:style w:type="character" w:styleId="Zdraznnintenzivn">
    <w:name w:val="Intense Emphasis"/>
    <w:basedOn w:val="Standardnpsmoodstavce"/>
    <w:uiPriority w:val="21"/>
    <w:qFormat/>
    <w:rsid w:val="00D27316"/>
    <w:rPr>
      <w:i/>
      <w:iCs/>
      <w:color w:val="0F4761" w:themeColor="accent1" w:themeShade="BF"/>
    </w:rPr>
  </w:style>
  <w:style w:type="paragraph" w:styleId="Vrazncitt">
    <w:name w:val="Intense Quote"/>
    <w:basedOn w:val="Normln"/>
    <w:next w:val="Normln"/>
    <w:link w:val="VrazncittChar"/>
    <w:uiPriority w:val="30"/>
    <w:qFormat/>
    <w:rsid w:val="00D273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D27316"/>
    <w:rPr>
      <w:i/>
      <w:iCs/>
      <w:color w:val="0F4761" w:themeColor="accent1" w:themeShade="BF"/>
    </w:rPr>
  </w:style>
  <w:style w:type="character" w:styleId="Odkazintenzivn">
    <w:name w:val="Intense Reference"/>
    <w:basedOn w:val="Standardnpsmoodstavce"/>
    <w:uiPriority w:val="32"/>
    <w:qFormat/>
    <w:rsid w:val="00D27316"/>
    <w:rPr>
      <w:b/>
      <w:bCs/>
      <w:smallCaps/>
      <w:color w:val="0F4761" w:themeColor="accent1" w:themeShade="BF"/>
      <w:spacing w:val="5"/>
    </w:rPr>
  </w:style>
  <w:style w:type="paragraph" w:styleId="Zhlav">
    <w:name w:val="header"/>
    <w:basedOn w:val="Normln"/>
    <w:link w:val="ZhlavChar"/>
    <w:uiPriority w:val="99"/>
    <w:unhideWhenUsed/>
    <w:rsid w:val="00935E67"/>
    <w:pPr>
      <w:tabs>
        <w:tab w:val="center" w:pos="4513"/>
        <w:tab w:val="right" w:pos="9026"/>
      </w:tabs>
      <w:spacing w:after="0" w:line="240" w:lineRule="auto"/>
    </w:pPr>
  </w:style>
  <w:style w:type="character" w:customStyle="1" w:styleId="ZhlavChar">
    <w:name w:val="Záhlaví Char"/>
    <w:basedOn w:val="Standardnpsmoodstavce"/>
    <w:link w:val="Zhlav"/>
    <w:uiPriority w:val="99"/>
    <w:rsid w:val="00935E67"/>
    <w:rPr>
      <w:rFonts w:ascii="Tahoma" w:hAnsi="Tahoma"/>
      <w:sz w:val="20"/>
    </w:rPr>
  </w:style>
  <w:style w:type="character" w:customStyle="1" w:styleId="eop">
    <w:name w:val="eop"/>
    <w:basedOn w:val="Standardnpsmoodstavce"/>
    <w:rsid w:val="00E246D3"/>
  </w:style>
  <w:style w:type="character" w:styleId="Odkaznakoment">
    <w:name w:val="annotation reference"/>
    <w:basedOn w:val="Standardnpsmoodstavce"/>
    <w:uiPriority w:val="99"/>
    <w:semiHidden/>
    <w:unhideWhenUsed/>
    <w:rsid w:val="005C4712"/>
    <w:rPr>
      <w:sz w:val="16"/>
      <w:szCs w:val="16"/>
    </w:rPr>
  </w:style>
  <w:style w:type="paragraph" w:styleId="Textkomente">
    <w:name w:val="annotation text"/>
    <w:basedOn w:val="Normln"/>
    <w:link w:val="TextkomenteChar"/>
    <w:uiPriority w:val="99"/>
    <w:unhideWhenUsed/>
    <w:rsid w:val="005C4712"/>
    <w:pPr>
      <w:spacing w:line="240" w:lineRule="auto"/>
    </w:pPr>
    <w:rPr>
      <w:kern w:val="0"/>
      <w:szCs w:val="20"/>
    </w:rPr>
  </w:style>
  <w:style w:type="character" w:customStyle="1" w:styleId="TextkomenteChar">
    <w:name w:val="Text komentáře Char"/>
    <w:basedOn w:val="Standardnpsmoodstavce"/>
    <w:link w:val="Textkomente"/>
    <w:uiPriority w:val="99"/>
    <w:rsid w:val="005C4712"/>
    <w:rPr>
      <w:kern w:val="0"/>
      <w:sz w:val="20"/>
      <w:szCs w:val="20"/>
    </w:rPr>
  </w:style>
  <w:style w:type="paragraph" w:styleId="Bezmezer">
    <w:name w:val="No Spacing"/>
    <w:uiPriority w:val="1"/>
    <w:qFormat/>
    <w:rsid w:val="00A64100"/>
    <w:pPr>
      <w:spacing w:after="0" w:line="240" w:lineRule="auto"/>
    </w:pPr>
    <w:rPr>
      <w:rFonts w:ascii="Tahoma" w:hAnsi="Tahoma"/>
      <w:sz w:val="20"/>
    </w:rPr>
  </w:style>
  <w:style w:type="paragraph" w:styleId="Revize">
    <w:name w:val="Revision"/>
    <w:hidden/>
    <w:uiPriority w:val="99"/>
    <w:semiHidden/>
    <w:rsid w:val="006819F6"/>
    <w:pPr>
      <w:spacing w:after="0" w:line="240" w:lineRule="auto"/>
    </w:pPr>
    <w:rPr>
      <w:rFonts w:ascii="Tahoma" w:hAnsi="Tahoma"/>
      <w:sz w:val="20"/>
    </w:rPr>
  </w:style>
  <w:style w:type="table" w:styleId="Mkatabulky">
    <w:name w:val="Table Grid"/>
    <w:basedOn w:val="Normlntabulka"/>
    <w:uiPriority w:val="39"/>
    <w:rsid w:val="0042089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6D308C"/>
    <w:rPr>
      <w:b/>
      <w:bCs/>
      <w:kern w:val="2"/>
    </w:rPr>
  </w:style>
  <w:style w:type="character" w:customStyle="1" w:styleId="PedmtkomenteChar">
    <w:name w:val="Předmět komentáře Char"/>
    <w:basedOn w:val="TextkomenteChar"/>
    <w:link w:val="Pedmtkomente"/>
    <w:uiPriority w:val="99"/>
    <w:semiHidden/>
    <w:rsid w:val="006D308C"/>
    <w:rPr>
      <w:rFonts w:ascii="Tahoma" w:hAnsi="Tahoma"/>
      <w:b/>
      <w:bCs/>
      <w:kern w:val="0"/>
      <w:sz w:val="20"/>
      <w:szCs w:val="20"/>
    </w:rPr>
  </w:style>
  <w:style w:type="paragraph" w:customStyle="1" w:styleId="pf0">
    <w:name w:val="pf0"/>
    <w:basedOn w:val="Normln"/>
    <w:rsid w:val="00FC3C23"/>
    <w:pPr>
      <w:spacing w:before="100" w:beforeAutospacing="1" w:after="100" w:afterAutospacing="1" w:line="240" w:lineRule="auto"/>
    </w:pPr>
    <w:rPr>
      <w:rFonts w:ascii="Times New Roman" w:eastAsia="Times New Roman" w:hAnsi="Times New Roman" w:cs="Times New Roman"/>
      <w:kern w:val="0"/>
      <w:sz w:val="24"/>
      <w:szCs w:val="24"/>
      <w:lang w:eastAsia="cs-CZ"/>
    </w:rPr>
  </w:style>
  <w:style w:type="character" w:customStyle="1" w:styleId="cf01">
    <w:name w:val="cf01"/>
    <w:basedOn w:val="Standardnpsmoodstavce"/>
    <w:rsid w:val="00FC3C2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1B1B65D194E949810B22383C7E6A89" ma:contentTypeVersion="15" ma:contentTypeDescription="Vytvoří nový dokument" ma:contentTypeScope="" ma:versionID="6b9607796fee9553a36fdb03f7f4833c">
  <xsd:schema xmlns:xsd="http://www.w3.org/2001/XMLSchema" xmlns:xs="http://www.w3.org/2001/XMLSchema" xmlns:p="http://schemas.microsoft.com/office/2006/metadata/properties" xmlns:ns2="104e6285-7cf7-4209-ae84-01e3f46af855" xmlns:ns3="27eaa013-dc27-4ae5-82f1-d50cafec7dcf" targetNamespace="http://schemas.microsoft.com/office/2006/metadata/properties" ma:root="true" ma:fieldsID="67016d0234e39b01f0cf969125d33aa1" ns2:_="" ns3:_="">
    <xsd:import namespace="104e6285-7cf7-4209-ae84-01e3f46af855"/>
    <xsd:import namespace="27eaa013-dc27-4ae5-82f1-d50cafec7dc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4e6285-7cf7-4209-ae84-01e3f46af855"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c0f21b97-4f1f-42f4-987e-2d764a9847c5}" ma:internalName="TaxCatchAll" ma:showField="CatchAllData" ma:web="104e6285-7cf7-4209-ae84-01e3f46af85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7eaa013-dc27-4ae5-82f1-d50cafec7dc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12a611ad-22dc-4dbb-8116-15fea31853a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7eaa013-dc27-4ae5-82f1-d50cafec7dcf">
      <Terms xmlns="http://schemas.microsoft.com/office/infopath/2007/PartnerControls"/>
    </lcf76f155ced4ddcb4097134ff3c332f>
    <TaxCatchAll xmlns="104e6285-7cf7-4209-ae84-01e3f46af855" xsi:nil="true"/>
  </documentManagement>
</p:properties>
</file>

<file path=customXml/itemProps1.xml><?xml version="1.0" encoding="utf-8"?>
<ds:datastoreItem xmlns:ds="http://schemas.openxmlformats.org/officeDocument/2006/customXml" ds:itemID="{298E63F8-C21F-4251-8A49-CABB643E6FCD}"/>
</file>

<file path=customXml/itemProps2.xml><?xml version="1.0" encoding="utf-8"?>
<ds:datastoreItem xmlns:ds="http://schemas.openxmlformats.org/officeDocument/2006/customXml" ds:itemID="{2DA529E9-0E64-4DED-B47A-86A7494E6C9C}">
  <ds:schemaRefs>
    <ds:schemaRef ds:uri="http://schemas.microsoft.com/sharepoint/v3/contenttype/forms"/>
  </ds:schemaRefs>
</ds:datastoreItem>
</file>

<file path=customXml/itemProps3.xml><?xml version="1.0" encoding="utf-8"?>
<ds:datastoreItem xmlns:ds="http://schemas.openxmlformats.org/officeDocument/2006/customXml" ds:itemID="{E1625373-4A16-45AB-9FBF-691DC488C4EA}">
  <ds:schemaRefs>
    <ds:schemaRef ds:uri="http://schemas.openxmlformats.org/officeDocument/2006/bibliography"/>
  </ds:schemaRefs>
</ds:datastoreItem>
</file>

<file path=customXml/itemProps4.xml><?xml version="1.0" encoding="utf-8"?>
<ds:datastoreItem xmlns:ds="http://schemas.openxmlformats.org/officeDocument/2006/customXml" ds:itemID="{1BDE3CD6-DCA0-4FBB-B92F-AA2CBA77531B}">
  <ds:schemaRefs>
    <ds:schemaRef ds:uri="http://schemas.microsoft.com/office/2006/metadata/properties"/>
    <ds:schemaRef ds:uri="http://schemas.microsoft.com/office/infopath/2007/PartnerControls"/>
    <ds:schemaRef ds:uri="27eaa013-dc27-4ae5-82f1-d50cafec7dcf"/>
    <ds:schemaRef ds:uri="104e6285-7cf7-4209-ae84-01e3f46af855"/>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1881</Words>
  <Characters>11098</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Libuše Kozáková</cp:lastModifiedBy>
  <cp:revision>7</cp:revision>
  <dcterms:created xsi:type="dcterms:W3CDTF">2025-12-16T07:51:00Z</dcterms:created>
  <dcterms:modified xsi:type="dcterms:W3CDTF">2026-01-06T11:33:00Z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8d0f2c9,6929f169,4d28da76</vt:lpwstr>
  </property>
  <property fmtid="{D5CDD505-2E9C-101B-9397-08002B2CF9AE}" pid="3" name="ClassificationContentMarkingHeaderFontProps">
    <vt:lpwstr>#000000,10,Calibri</vt:lpwstr>
  </property>
  <property fmtid="{D5CDD505-2E9C-101B-9397-08002B2CF9AE}" pid="4" name="ClassificationContentMarkingHeaderText">
    <vt:lpwstr>Klasifikace informací: Veřejné</vt:lpwstr>
  </property>
  <property fmtid="{D5CDD505-2E9C-101B-9397-08002B2CF9AE}" pid="5" name="MSIP_Label_93621039-4e4b-4448-8b62-8948ad8b2d88_Enabled">
    <vt:lpwstr>true</vt:lpwstr>
  </property>
  <property fmtid="{D5CDD505-2E9C-101B-9397-08002B2CF9AE}" pid="6" name="MSIP_Label_93621039-4e4b-4448-8b62-8948ad8b2d88_SetDate">
    <vt:lpwstr>2024-03-12T12:57:42Z</vt:lpwstr>
  </property>
  <property fmtid="{D5CDD505-2E9C-101B-9397-08002B2CF9AE}" pid="7" name="MSIP_Label_93621039-4e4b-4448-8b62-8948ad8b2d88_Method">
    <vt:lpwstr>Privileged</vt:lpwstr>
  </property>
  <property fmtid="{D5CDD505-2E9C-101B-9397-08002B2CF9AE}" pid="8" name="MSIP_Label_93621039-4e4b-4448-8b62-8948ad8b2d88_Name">
    <vt:lpwstr>Veřejné</vt:lpwstr>
  </property>
  <property fmtid="{D5CDD505-2E9C-101B-9397-08002B2CF9AE}" pid="9" name="MSIP_Label_93621039-4e4b-4448-8b62-8948ad8b2d88_SiteId">
    <vt:lpwstr>11736566-1383-4cd1-8b08-dd59faa7d7a1</vt:lpwstr>
  </property>
  <property fmtid="{D5CDD505-2E9C-101B-9397-08002B2CF9AE}" pid="10" name="MSIP_Label_93621039-4e4b-4448-8b62-8948ad8b2d88_ActionId">
    <vt:lpwstr>f7c4342d-1856-4fc3-966c-3c591a6d8135</vt:lpwstr>
  </property>
  <property fmtid="{D5CDD505-2E9C-101B-9397-08002B2CF9AE}" pid="11" name="MSIP_Label_93621039-4e4b-4448-8b62-8948ad8b2d88_ContentBits">
    <vt:lpwstr>1</vt:lpwstr>
  </property>
  <property fmtid="{D5CDD505-2E9C-101B-9397-08002B2CF9AE}" pid="12" name="ContentTypeId">
    <vt:lpwstr>0x010100B61B1B65D194E949810B22383C7E6A89</vt:lpwstr>
  </property>
  <property fmtid="{D5CDD505-2E9C-101B-9397-08002B2CF9AE}" pid="13" name="MediaServiceImageTags">
    <vt:lpwstr/>
  </property>
</Properties>
</file>